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2E" w:rsidRDefault="0079502E" w:rsidP="0079502E">
      <w:pPr>
        <w:pStyle w:val="1"/>
        <w:jc w:val="center"/>
        <w:rPr>
          <w:rFonts w:ascii="宋体" w:hAnsi="宋体" w:cs="宋体" w:hint="eastAsia"/>
          <w:sz w:val="32"/>
          <w:szCs w:val="32"/>
        </w:rPr>
      </w:pPr>
      <w:bookmarkStart w:id="0" w:name="_Toc345403615"/>
      <w:r>
        <w:rPr>
          <w:rFonts w:ascii="宋体" w:hAnsi="宋体" w:cs="宋体" w:hint="eastAsia"/>
          <w:sz w:val="32"/>
          <w:szCs w:val="32"/>
        </w:rPr>
        <w:t>第七部分设备管理工作制度</w:t>
      </w:r>
      <w:bookmarkEnd w:id="0"/>
    </w:p>
    <w:p w:rsidR="0079502E" w:rsidRDefault="0079502E" w:rsidP="0079502E">
      <w:pPr>
        <w:pStyle w:val="2"/>
        <w:jc w:val="center"/>
        <w:rPr>
          <w:rFonts w:ascii="华文仿宋" w:eastAsia="华文仿宋" w:hAnsi="华文仿宋" w:cs="华文仿宋" w:hint="eastAsia"/>
          <w:sz w:val="28"/>
          <w:szCs w:val="28"/>
        </w:rPr>
      </w:pPr>
      <w:bookmarkStart w:id="1" w:name="_Toc345403616"/>
      <w:r>
        <w:rPr>
          <w:rFonts w:ascii="华文仿宋" w:eastAsia="华文仿宋" w:hAnsi="华文仿宋" w:cs="华文仿宋" w:hint="eastAsia"/>
          <w:sz w:val="28"/>
          <w:szCs w:val="28"/>
        </w:rPr>
        <w:t>抗菌药物分级管理制度</w:t>
      </w:r>
      <w:bookmarkEnd w:id="1"/>
    </w:p>
    <w:p w:rsidR="0079502E" w:rsidRDefault="0079502E" w:rsidP="0079502E">
      <w:pPr>
        <w:ind w:firstLineChars="200" w:firstLine="420"/>
        <w:rPr>
          <w:rFonts w:hint="eastAsia"/>
          <w:color w:val="000000"/>
          <w:szCs w:val="21"/>
        </w:rPr>
      </w:pPr>
      <w:r>
        <w:rPr>
          <w:rFonts w:hint="eastAsia"/>
          <w:color w:val="000000"/>
          <w:szCs w:val="21"/>
        </w:rPr>
        <w:t xml:space="preserve">  </w:t>
      </w:r>
      <w:r>
        <w:rPr>
          <w:rFonts w:hint="eastAsia"/>
          <w:color w:val="000000"/>
          <w:szCs w:val="21"/>
        </w:rPr>
        <w:t>根据卫生部《抗萄药物临床应用指导原则》和《</w:t>
      </w:r>
      <w:r>
        <w:rPr>
          <w:rFonts w:hint="eastAsia"/>
          <w:color w:val="000000"/>
          <w:szCs w:val="21"/>
        </w:rPr>
        <w:t>2011</w:t>
      </w:r>
      <w:r>
        <w:rPr>
          <w:rFonts w:hint="eastAsia"/>
          <w:color w:val="000000"/>
          <w:szCs w:val="21"/>
        </w:rPr>
        <w:t>年云南省抗菌药物临床应用专项整治活动实施方案》相关规定，为规范我院医务人员的用药行为．进一步提高抗菌药物疗效降低不良反应臧缓细菌耐药的发展，提高我院临床抗菌药物治疗水平</w:t>
      </w:r>
      <w:r>
        <w:rPr>
          <w:rFonts w:hint="eastAsia"/>
          <w:color w:val="000000"/>
          <w:szCs w:val="21"/>
        </w:rPr>
        <w:t>'</w:t>
      </w:r>
      <w:r>
        <w:rPr>
          <w:rFonts w:hint="eastAsia"/>
          <w:color w:val="000000"/>
          <w:szCs w:val="21"/>
        </w:rPr>
        <w:t>特制定本制度。</w:t>
      </w:r>
    </w:p>
    <w:p w:rsidR="0079502E" w:rsidRDefault="0079502E" w:rsidP="0079502E">
      <w:pPr>
        <w:ind w:firstLineChars="200" w:firstLine="420"/>
        <w:rPr>
          <w:rFonts w:hint="eastAsia"/>
          <w:color w:val="000000"/>
          <w:szCs w:val="21"/>
        </w:rPr>
      </w:pPr>
      <w:r>
        <w:rPr>
          <w:rFonts w:hint="eastAsia"/>
          <w:color w:val="000000"/>
          <w:szCs w:val="21"/>
        </w:rPr>
        <w:t>一、分级原则</w:t>
      </w:r>
    </w:p>
    <w:p w:rsidR="0079502E" w:rsidRDefault="0079502E" w:rsidP="0079502E">
      <w:pPr>
        <w:ind w:firstLineChars="200" w:firstLine="420"/>
        <w:rPr>
          <w:rFonts w:hint="eastAsia"/>
          <w:color w:val="000000"/>
          <w:szCs w:val="21"/>
        </w:rPr>
      </w:pPr>
      <w:r>
        <w:rPr>
          <w:rFonts w:hint="eastAsia"/>
          <w:color w:val="000000"/>
          <w:szCs w:val="21"/>
        </w:rPr>
        <w:t>（一）非限制使用（一线）</w:t>
      </w:r>
      <w:r>
        <w:rPr>
          <w:rFonts w:hint="eastAsia"/>
          <w:color w:val="000000"/>
          <w:szCs w:val="21"/>
        </w:rPr>
        <w:t xml:space="preserve">  </w:t>
      </w:r>
      <w:r>
        <w:rPr>
          <w:rFonts w:hint="eastAsia"/>
          <w:color w:val="000000"/>
          <w:szCs w:val="21"/>
        </w:rPr>
        <w:t>经临床长期应用证明安全、有效</w:t>
      </w:r>
      <w:r>
        <w:rPr>
          <w:rFonts w:hint="eastAsia"/>
          <w:color w:val="000000"/>
          <w:szCs w:val="21"/>
        </w:rPr>
        <w:t>-</w:t>
      </w:r>
      <w:r>
        <w:rPr>
          <w:rFonts w:hint="eastAsia"/>
          <w:color w:val="000000"/>
          <w:szCs w:val="21"/>
        </w:rPr>
        <w:t>对细菌耐药性影响较小，价格相对较低的抗菌药物。此类药物有青霉素、氧苄西林、阿奠西林克拉维酸钾、头孢唑林、头孢羟氢苄、头孢克洛、诺氟沙星、碟霉素、克林霉素、红霉素、阿奇霉素片（颗粒）、磺胺、柳氯磺吡啶、甲</w:t>
      </w:r>
      <w:r>
        <w:rPr>
          <w:rFonts w:hint="eastAsia"/>
          <w:color w:val="000000"/>
          <w:szCs w:val="21"/>
        </w:rPr>
        <w:t>{F</w:t>
      </w:r>
      <w:r>
        <w:rPr>
          <w:rFonts w:hint="eastAsia"/>
          <w:color w:val="000000"/>
          <w:szCs w:val="21"/>
        </w:rPr>
        <w:t>蚀等。</w:t>
      </w:r>
    </w:p>
    <w:p w:rsidR="0079502E" w:rsidRDefault="0079502E" w:rsidP="0079502E">
      <w:pPr>
        <w:ind w:firstLineChars="200" w:firstLine="420"/>
        <w:rPr>
          <w:rFonts w:hint="eastAsia"/>
          <w:color w:val="000000"/>
          <w:szCs w:val="21"/>
        </w:rPr>
      </w:pPr>
      <w:r>
        <w:rPr>
          <w:rFonts w:hint="eastAsia"/>
          <w:color w:val="000000"/>
          <w:szCs w:val="21"/>
        </w:rPr>
        <w:t>（二）限制使用（二线）：与非限制使用抗菌药物相比较，这类药物在疗效、安全性、对细面耐药性影响、药品价格等某方面存在局限性，不宜作为非限制药物使用。此类药物有：阿莫西林钠舒巴坦钠、哌拉西林钠他唑巴坦钠、头孢硫脒、头孢替安、</w:t>
      </w:r>
      <w:r>
        <w:rPr>
          <w:rFonts w:hint="eastAsia"/>
          <w:color w:val="000000"/>
          <w:szCs w:val="21"/>
        </w:rPr>
        <w:t xml:space="preserve"> </w:t>
      </w:r>
      <w:r>
        <w:rPr>
          <w:rFonts w:hint="eastAsia"/>
          <w:color w:val="000000"/>
          <w:szCs w:val="21"/>
        </w:rPr>
        <w:t>头孢地尼、头孢丙烯、头孢曲松、头孢哌酮钠舒巴坦钠、头孢唾肟钠舒巴坦钠、头孢他定、头孢地秦钠、氨曲南、左氧氟沙星、氟罗沙星、帕珠沙星、庆大霉素、阿奇霉素（针剂）、克拉霉素、罗红霉素片、多西环素、四环素片、奥硝唑、伊曲康唑（除口服液、注射剂外）、特比萘芬．氟康唑等。</w:t>
      </w:r>
    </w:p>
    <w:p w:rsidR="0079502E" w:rsidRDefault="0079502E" w:rsidP="0079502E">
      <w:pPr>
        <w:ind w:firstLineChars="200" w:firstLine="420"/>
        <w:rPr>
          <w:rFonts w:hint="eastAsia"/>
          <w:color w:val="000000"/>
          <w:szCs w:val="21"/>
        </w:rPr>
      </w:pPr>
      <w:r>
        <w:rPr>
          <w:rFonts w:hint="eastAsia"/>
          <w:color w:val="000000"/>
          <w:szCs w:val="21"/>
        </w:rPr>
        <w:t>（三）特殊使用（三线）．不良反应明显不直随意使用或临床需要倍加保护以免细菌过快产生耐药而导致严重后果的抗菌药物，新上市的抗菌药物；其疗效或安全性任何一方面的临床资科尚较少，或并不优于现用药物者药品价格昂贵。此类药物有：头孢吡肟、头孢哌酮钠他唑巴坦钠、亚胺培南／西司他丁钠、姜罗培南、莫西沙星、伊曲康唑（口服液、注</w:t>
      </w:r>
      <w:r>
        <w:rPr>
          <w:rFonts w:hint="eastAsia"/>
          <w:color w:val="000000"/>
          <w:szCs w:val="21"/>
        </w:rPr>
        <w:t>-</w:t>
      </w:r>
      <w:r>
        <w:rPr>
          <w:rFonts w:hint="eastAsia"/>
          <w:color w:val="000000"/>
          <w:szCs w:val="21"/>
        </w:rPr>
        <w:t>射剂）、地红霉素、万古霉素等。</w:t>
      </w:r>
    </w:p>
    <w:p w:rsidR="0079502E" w:rsidRDefault="0079502E" w:rsidP="0079502E">
      <w:pPr>
        <w:ind w:firstLineChars="200" w:firstLine="420"/>
        <w:rPr>
          <w:rFonts w:hint="eastAsia"/>
          <w:color w:val="000000"/>
          <w:szCs w:val="21"/>
        </w:rPr>
      </w:pPr>
      <w:r>
        <w:rPr>
          <w:rFonts w:hint="eastAsia"/>
          <w:color w:val="000000"/>
          <w:szCs w:val="21"/>
        </w:rPr>
        <w:t>二、使用原则与方法</w:t>
      </w:r>
    </w:p>
    <w:p w:rsidR="0079502E" w:rsidRDefault="0079502E" w:rsidP="0079502E">
      <w:pPr>
        <w:ind w:firstLineChars="200" w:firstLine="420"/>
        <w:rPr>
          <w:rFonts w:hint="eastAsia"/>
          <w:color w:val="000000"/>
          <w:szCs w:val="21"/>
        </w:rPr>
      </w:pPr>
      <w:r>
        <w:rPr>
          <w:rFonts w:hint="eastAsia"/>
          <w:color w:val="000000"/>
          <w:szCs w:val="21"/>
        </w:rPr>
        <w:t>（一）原则：严格使用指征、坚持合理用药、分级使用、严禁滥用。严禁超处方权和违反程序使用抗菌药物。</w:t>
      </w:r>
    </w:p>
    <w:p w:rsidR="0079502E" w:rsidRDefault="0079502E" w:rsidP="0079502E">
      <w:pPr>
        <w:ind w:firstLineChars="200" w:firstLine="420"/>
        <w:rPr>
          <w:rFonts w:hint="eastAsia"/>
          <w:color w:val="000000"/>
          <w:szCs w:val="21"/>
        </w:rPr>
      </w:pPr>
      <w:r>
        <w:rPr>
          <w:rFonts w:hint="eastAsia"/>
          <w:color w:val="000000"/>
          <w:szCs w:val="21"/>
        </w:rPr>
        <w:t>（二）使用方法</w:t>
      </w:r>
    </w:p>
    <w:p w:rsidR="0079502E" w:rsidRDefault="0079502E" w:rsidP="0079502E">
      <w:pPr>
        <w:ind w:firstLineChars="200" w:firstLine="420"/>
        <w:rPr>
          <w:rFonts w:hint="eastAsia"/>
          <w:color w:val="000000"/>
          <w:szCs w:val="21"/>
        </w:rPr>
      </w:pPr>
      <w:r>
        <w:rPr>
          <w:rFonts w:hint="eastAsia"/>
          <w:color w:val="000000"/>
          <w:szCs w:val="21"/>
        </w:rPr>
        <w:t>1.</w:t>
      </w:r>
      <w:r>
        <w:rPr>
          <w:rFonts w:hint="eastAsia"/>
          <w:color w:val="000000"/>
          <w:szCs w:val="21"/>
        </w:rPr>
        <w:t>一线抗菌药物具有执业医师资格的临床医师均可以根据病情需要选用。</w:t>
      </w:r>
    </w:p>
    <w:p w:rsidR="0079502E" w:rsidRDefault="0079502E" w:rsidP="0079502E">
      <w:pPr>
        <w:ind w:firstLineChars="200" w:firstLine="420"/>
        <w:rPr>
          <w:rFonts w:hint="eastAsia"/>
          <w:color w:val="000000"/>
          <w:szCs w:val="21"/>
        </w:rPr>
      </w:pPr>
      <w:r>
        <w:rPr>
          <w:rFonts w:hint="eastAsia"/>
          <w:color w:val="000000"/>
          <w:szCs w:val="21"/>
        </w:rPr>
        <w:t>2.</w:t>
      </w:r>
      <w:r>
        <w:rPr>
          <w:rFonts w:hint="eastAsia"/>
          <w:color w:val="000000"/>
          <w:szCs w:val="21"/>
        </w:rPr>
        <w:t>二线抗菌药物应有用药依据，根据病情需要由王浩及以上医师签名方可使用。</w:t>
      </w:r>
    </w:p>
    <w:p w:rsidR="0079502E" w:rsidRDefault="0079502E" w:rsidP="0079502E">
      <w:pPr>
        <w:ind w:firstLineChars="200" w:firstLine="420"/>
        <w:rPr>
          <w:rFonts w:hint="eastAsia"/>
          <w:color w:val="000000"/>
          <w:szCs w:val="21"/>
        </w:rPr>
      </w:pPr>
      <w:r>
        <w:rPr>
          <w:rFonts w:hint="eastAsia"/>
          <w:color w:val="000000"/>
          <w:szCs w:val="21"/>
        </w:rPr>
        <w:t>3</w:t>
      </w:r>
      <w:r>
        <w:rPr>
          <w:rFonts w:hint="eastAsia"/>
          <w:color w:val="000000"/>
          <w:szCs w:val="21"/>
        </w:rPr>
        <w:t>三线药物使用必须严格掌握指征，需经会诊并签字同童后．再由具有高级专业技术职务任职资格的医师开具。紧急情况下未经会诊同意或需越级使用的，处方量不得超过</w:t>
      </w:r>
      <w:r>
        <w:rPr>
          <w:rFonts w:hint="eastAsia"/>
          <w:color w:val="000000"/>
          <w:szCs w:val="21"/>
        </w:rPr>
        <w:t>1</w:t>
      </w:r>
      <w:r>
        <w:rPr>
          <w:rFonts w:hint="eastAsia"/>
          <w:color w:val="000000"/>
          <w:szCs w:val="21"/>
        </w:rPr>
        <w:t>日用量，并做好相关病历记录。</w:t>
      </w:r>
    </w:p>
    <w:p w:rsidR="0079502E" w:rsidRDefault="0079502E" w:rsidP="0079502E">
      <w:pPr>
        <w:ind w:firstLineChars="200" w:firstLine="420"/>
        <w:rPr>
          <w:rFonts w:hint="eastAsia"/>
          <w:color w:val="000000"/>
          <w:szCs w:val="21"/>
        </w:rPr>
      </w:pPr>
      <w:r>
        <w:rPr>
          <w:rFonts w:hint="eastAsia"/>
          <w:color w:val="000000"/>
          <w:szCs w:val="21"/>
        </w:rPr>
        <w:t>4</w:t>
      </w:r>
      <w:r>
        <w:rPr>
          <w:rFonts w:hint="eastAsia"/>
          <w:color w:val="000000"/>
          <w:szCs w:val="21"/>
        </w:rPr>
        <w:t>下列情况可直接使用一线以上药物进行治疗．但若培养及药敏证实第一线药物有效时应尽可能改为第一线药物。</w:t>
      </w:r>
    </w:p>
    <w:p w:rsidR="0079502E" w:rsidRDefault="0079502E" w:rsidP="0079502E">
      <w:pPr>
        <w:ind w:firstLineChars="200" w:firstLine="420"/>
        <w:rPr>
          <w:rFonts w:hint="eastAsia"/>
          <w:color w:val="000000"/>
          <w:szCs w:val="21"/>
        </w:rPr>
      </w:pPr>
      <w:r>
        <w:rPr>
          <w:rFonts w:hint="eastAsia"/>
          <w:color w:val="000000"/>
          <w:szCs w:val="21"/>
        </w:rPr>
        <w:t>（</w:t>
      </w:r>
      <w:r>
        <w:rPr>
          <w:rFonts w:hint="eastAsia"/>
          <w:color w:val="000000"/>
          <w:szCs w:val="21"/>
        </w:rPr>
        <w:t>1</w:t>
      </w:r>
      <w:r>
        <w:rPr>
          <w:rFonts w:hint="eastAsia"/>
          <w:color w:val="000000"/>
          <w:szCs w:val="21"/>
        </w:rPr>
        <w:t>）感染病情严重者如：①菌血症、脓毒血症等血行感染，或有休克、呼吸衰竭、</w:t>
      </w:r>
      <w:r>
        <w:rPr>
          <w:rFonts w:hint="eastAsia"/>
          <w:color w:val="000000"/>
          <w:szCs w:val="21"/>
        </w:rPr>
        <w:t>DIC</w:t>
      </w:r>
      <w:r>
        <w:rPr>
          <w:rFonts w:hint="eastAsia"/>
          <w:color w:val="000000"/>
          <w:szCs w:val="21"/>
        </w:rPr>
        <w:t>等合并症：</w:t>
      </w:r>
      <w:r>
        <w:rPr>
          <w:rFonts w:ascii="宋体" w:hAnsi="宋体" w:hint="eastAsia"/>
          <w:color w:val="000000"/>
          <w:szCs w:val="21"/>
        </w:rPr>
        <w:t>②</w:t>
      </w:r>
      <w:r>
        <w:rPr>
          <w:rFonts w:hint="eastAsia"/>
          <w:color w:val="000000"/>
          <w:szCs w:val="21"/>
        </w:rPr>
        <w:t>中枢神经系统感染：</w:t>
      </w:r>
      <w:r>
        <w:rPr>
          <w:rFonts w:ascii="宋体" w:hAnsi="宋体" w:hint="eastAsia"/>
          <w:color w:val="000000"/>
          <w:szCs w:val="21"/>
        </w:rPr>
        <w:t>③</w:t>
      </w:r>
      <w:r>
        <w:rPr>
          <w:rFonts w:hint="eastAsia"/>
          <w:color w:val="000000"/>
          <w:szCs w:val="21"/>
        </w:rPr>
        <w:t>脏器穿孔引起的急性腹膜炎、急性盆腔炎等：</w:t>
      </w:r>
      <w:r>
        <w:rPr>
          <w:rFonts w:ascii="宋体" w:hAnsi="宋体" w:hint="eastAsia"/>
          <w:color w:val="000000"/>
          <w:szCs w:val="21"/>
        </w:rPr>
        <w:t>④</w:t>
      </w:r>
      <w:r>
        <w:rPr>
          <w:rFonts w:hint="eastAsia"/>
          <w:color w:val="000000"/>
          <w:szCs w:val="21"/>
        </w:rPr>
        <w:t>互感染性心肉膜炎、化脓性心包炎等：⑤严重的肺炎、詈关节感染、肝胆系统感染、蜂窝组织炎等：⑥重厦烧伤、严重复合伤、多发伤及合并重症感染者；⑦有混合感染可能的患者。</w:t>
      </w:r>
    </w:p>
    <w:p w:rsidR="0079502E" w:rsidRDefault="0079502E" w:rsidP="0079502E">
      <w:pPr>
        <w:ind w:firstLineChars="200" w:firstLine="420"/>
        <w:rPr>
          <w:rFonts w:hint="eastAsia"/>
          <w:color w:val="000000"/>
          <w:szCs w:val="21"/>
        </w:rPr>
      </w:pPr>
      <w:r>
        <w:rPr>
          <w:rFonts w:hint="eastAsia"/>
          <w:color w:val="000000"/>
          <w:szCs w:val="21"/>
        </w:rPr>
        <w:lastRenderedPageBreak/>
        <w:t>(2)</w:t>
      </w:r>
      <w:r>
        <w:rPr>
          <w:rFonts w:hint="eastAsia"/>
          <w:color w:val="000000"/>
          <w:szCs w:val="21"/>
        </w:rPr>
        <w:t>免疫功能低下患者发生感染时，包括：①接受免疫抑制剂治疗：②接受抗肿瘤化学疗法：</w:t>
      </w:r>
      <w:r>
        <w:rPr>
          <w:rFonts w:ascii="宋体" w:hAnsi="宋体" w:hint="eastAsia"/>
          <w:color w:val="000000"/>
          <w:szCs w:val="21"/>
        </w:rPr>
        <w:t>③</w:t>
      </w:r>
      <w:r>
        <w:rPr>
          <w:rFonts w:hint="eastAsia"/>
          <w:color w:val="000000"/>
          <w:szCs w:val="21"/>
        </w:rPr>
        <w:t>接受大剂量肾上腺皮质激素治疗者：④血</w:t>
      </w:r>
      <w:r>
        <w:rPr>
          <w:rFonts w:hint="eastAsia"/>
          <w:color w:val="000000"/>
          <w:szCs w:val="21"/>
        </w:rPr>
        <w:t>WBC&lt;1X109 /L</w:t>
      </w:r>
      <w:r>
        <w:rPr>
          <w:rFonts w:hint="eastAsia"/>
          <w:color w:val="000000"/>
          <w:szCs w:val="21"/>
        </w:rPr>
        <w:t>或中性粒细胞</w:t>
      </w:r>
      <w:r>
        <w:rPr>
          <w:rFonts w:hint="eastAsia"/>
          <w:color w:val="000000"/>
          <w:szCs w:val="21"/>
        </w:rPr>
        <w:t>&lt;0. 5x109</w:t>
      </w:r>
      <w:r>
        <w:rPr>
          <w:rFonts w:hint="eastAsia"/>
          <w:color w:val="000000"/>
          <w:szCs w:val="21"/>
        </w:rPr>
        <w:t>／</w:t>
      </w:r>
      <w:r>
        <w:rPr>
          <w:rFonts w:hint="eastAsia"/>
          <w:color w:val="000000"/>
          <w:szCs w:val="21"/>
        </w:rPr>
        <w:t>L</w:t>
      </w:r>
      <w:r>
        <w:rPr>
          <w:rFonts w:hint="eastAsia"/>
          <w:color w:val="000000"/>
          <w:szCs w:val="21"/>
        </w:rPr>
        <w:t>：⑤脾切除后不明原因的发热者；⑥艾滋病：⑦先天性免疫功能缺陷者：</w:t>
      </w:r>
      <w:r>
        <w:rPr>
          <w:rFonts w:ascii="宋体" w:hAnsi="宋体" w:hint="eastAsia"/>
          <w:color w:val="000000"/>
          <w:szCs w:val="21"/>
        </w:rPr>
        <w:t>⑧</w:t>
      </w:r>
      <w:r>
        <w:rPr>
          <w:rFonts w:hint="eastAsia"/>
          <w:color w:val="000000"/>
          <w:szCs w:val="21"/>
        </w:rPr>
        <w:t>老年患者。</w:t>
      </w:r>
    </w:p>
    <w:p w:rsidR="0079502E" w:rsidRDefault="0079502E" w:rsidP="0079502E">
      <w:pPr>
        <w:ind w:firstLineChars="200" w:firstLine="420"/>
        <w:rPr>
          <w:rFonts w:hint="eastAsia"/>
          <w:color w:val="000000"/>
          <w:szCs w:val="21"/>
        </w:rPr>
      </w:pPr>
      <w:r>
        <w:rPr>
          <w:rFonts w:hint="eastAsia"/>
          <w:color w:val="000000"/>
          <w:szCs w:val="21"/>
        </w:rPr>
        <w:t>（</w:t>
      </w:r>
      <w:r>
        <w:rPr>
          <w:rFonts w:hint="eastAsia"/>
          <w:color w:val="000000"/>
          <w:szCs w:val="21"/>
        </w:rPr>
        <w:t>3</w:t>
      </w:r>
      <w:r>
        <w:rPr>
          <w:rFonts w:hint="eastAsia"/>
          <w:color w:val="000000"/>
          <w:szCs w:val="21"/>
        </w:rPr>
        <w:t>）病原菌只对二线或三线抗菌药物敏感的喜染。</w:t>
      </w:r>
    </w:p>
    <w:p w:rsidR="0079502E" w:rsidRDefault="0079502E" w:rsidP="0079502E">
      <w:pPr>
        <w:pStyle w:val="2"/>
        <w:jc w:val="center"/>
        <w:rPr>
          <w:rFonts w:ascii="华文仿宋" w:eastAsia="华文仿宋" w:hAnsi="华文仿宋" w:cs="华文仿宋" w:hint="eastAsia"/>
          <w:sz w:val="28"/>
          <w:szCs w:val="28"/>
        </w:rPr>
      </w:pPr>
      <w:bookmarkStart w:id="2" w:name="_Toc345403617"/>
      <w:r>
        <w:rPr>
          <w:rFonts w:ascii="华文仿宋" w:eastAsia="华文仿宋" w:hAnsi="华文仿宋" w:cs="华文仿宋" w:hint="eastAsia"/>
          <w:sz w:val="28"/>
          <w:szCs w:val="28"/>
        </w:rPr>
        <w:t>药物不良反应事件报告管理制度</w:t>
      </w:r>
      <w:bookmarkEnd w:id="2"/>
    </w:p>
    <w:p w:rsidR="0079502E" w:rsidRDefault="0079502E" w:rsidP="0079502E">
      <w:pPr>
        <w:ind w:firstLineChars="200" w:firstLine="420"/>
        <w:rPr>
          <w:rFonts w:hint="eastAsia"/>
          <w:color w:val="000000"/>
          <w:szCs w:val="21"/>
        </w:rPr>
      </w:pPr>
      <w:r>
        <w:rPr>
          <w:rFonts w:hint="eastAsia"/>
          <w:color w:val="000000"/>
          <w:szCs w:val="21"/>
        </w:rPr>
        <w:t>为加强医院临床使用药品的安全监管，保障临床用药的安全性和规范医院药品的不良反应事件的报告，根据《中华人民共和国药品管理法》和《药品不良反应事件报告和监测管理办法》的关规定，制定药品不良反应（以下简称</w:t>
      </w:r>
      <w:r>
        <w:rPr>
          <w:rFonts w:hint="eastAsia"/>
          <w:color w:val="000000"/>
          <w:szCs w:val="21"/>
        </w:rPr>
        <w:t>ADR</w:t>
      </w:r>
      <w:r>
        <w:rPr>
          <w:rFonts w:hint="eastAsia"/>
          <w:color w:val="000000"/>
          <w:szCs w:val="21"/>
        </w:rPr>
        <w:t>）事件（以下简称</w:t>
      </w:r>
      <w:r>
        <w:rPr>
          <w:rFonts w:hint="eastAsia"/>
          <w:color w:val="000000"/>
          <w:szCs w:val="21"/>
        </w:rPr>
        <w:t>ADR ADE</w:t>
      </w:r>
      <w:r>
        <w:rPr>
          <w:rFonts w:hint="eastAsia"/>
          <w:color w:val="000000"/>
          <w:szCs w:val="21"/>
        </w:rPr>
        <w:t>）报告制度。</w:t>
      </w:r>
    </w:p>
    <w:p w:rsidR="0079502E" w:rsidRDefault="0079502E" w:rsidP="0079502E">
      <w:pPr>
        <w:ind w:firstLineChars="200" w:firstLine="420"/>
        <w:rPr>
          <w:rFonts w:hint="eastAsia"/>
          <w:color w:val="000000"/>
          <w:szCs w:val="21"/>
        </w:rPr>
      </w:pPr>
      <w:r>
        <w:rPr>
          <w:rFonts w:hint="eastAsia"/>
          <w:color w:val="000000"/>
          <w:szCs w:val="21"/>
        </w:rPr>
        <w:t>一、药品不良反应（</w:t>
      </w:r>
      <w:r>
        <w:rPr>
          <w:rFonts w:hint="eastAsia"/>
          <w:color w:val="000000"/>
          <w:szCs w:val="21"/>
        </w:rPr>
        <w:t>ADR</w:t>
      </w:r>
      <w:r>
        <w:rPr>
          <w:rFonts w:hint="eastAsia"/>
          <w:color w:val="000000"/>
          <w:szCs w:val="21"/>
        </w:rPr>
        <w:t>）：是指合格药品在正常用法用量下出现的与用药目的无关的或意外的有害反应。</w:t>
      </w:r>
      <w:r>
        <w:rPr>
          <w:rFonts w:hint="eastAsia"/>
          <w:color w:val="000000"/>
          <w:szCs w:val="21"/>
        </w:rPr>
        <w:t>ADR</w:t>
      </w:r>
      <w:r>
        <w:rPr>
          <w:rFonts w:hint="eastAsia"/>
          <w:color w:val="000000"/>
          <w:szCs w:val="21"/>
        </w:rPr>
        <w:t>主要包括副作用、毒性作用、后遗效应、变态反应、继发反应、特异性遗传素质反应，药物依赖性、致癌、致突变、致畸作用等。</w:t>
      </w:r>
    </w:p>
    <w:p w:rsidR="0079502E" w:rsidRDefault="0079502E" w:rsidP="0079502E">
      <w:pPr>
        <w:ind w:firstLineChars="200" w:firstLine="420"/>
        <w:rPr>
          <w:rFonts w:hint="eastAsia"/>
          <w:color w:val="000000"/>
          <w:szCs w:val="21"/>
        </w:rPr>
      </w:pPr>
      <w:r>
        <w:rPr>
          <w:rFonts w:hint="eastAsia"/>
          <w:color w:val="000000"/>
          <w:szCs w:val="21"/>
        </w:rPr>
        <w:t>二、药物不良事件（</w:t>
      </w:r>
      <w:r>
        <w:rPr>
          <w:rFonts w:hint="eastAsia"/>
          <w:color w:val="000000"/>
          <w:szCs w:val="21"/>
        </w:rPr>
        <w:t>ADE</w:t>
      </w:r>
      <w:r>
        <w:rPr>
          <w:rFonts w:hint="eastAsia"/>
          <w:color w:val="000000"/>
          <w:szCs w:val="21"/>
        </w:rPr>
        <w:t>）：是指药物治疗期间所发生的任何不利的医学事件，但该事件并非一定与用药有因果关系，为了最大限度的降低人群的用药风险，本着“可疑即报”，的原则，对有重要意义的</w:t>
      </w:r>
      <w:r>
        <w:rPr>
          <w:rFonts w:hint="eastAsia"/>
          <w:color w:val="000000"/>
          <w:szCs w:val="21"/>
        </w:rPr>
        <w:t>ADE</w:t>
      </w:r>
      <w:r>
        <w:rPr>
          <w:rFonts w:hint="eastAsia"/>
          <w:color w:val="000000"/>
          <w:szCs w:val="21"/>
        </w:rPr>
        <w:t>也要进行监测。</w:t>
      </w:r>
    </w:p>
    <w:p w:rsidR="0079502E" w:rsidRDefault="0079502E" w:rsidP="0079502E">
      <w:pPr>
        <w:ind w:firstLineChars="200" w:firstLine="420"/>
        <w:rPr>
          <w:rFonts w:hint="eastAsia"/>
          <w:color w:val="000000"/>
          <w:szCs w:val="21"/>
        </w:rPr>
      </w:pPr>
      <w:r>
        <w:rPr>
          <w:rFonts w:hint="eastAsia"/>
          <w:color w:val="000000"/>
          <w:szCs w:val="21"/>
        </w:rPr>
        <w:t>三、在医院各部门工作的各级医、药、护、技人员均有义务注意、发现、报告药品不良反应、事件。</w:t>
      </w:r>
    </w:p>
    <w:p w:rsidR="0079502E" w:rsidRDefault="0079502E" w:rsidP="0079502E">
      <w:pPr>
        <w:ind w:firstLineChars="200" w:firstLine="420"/>
        <w:rPr>
          <w:rFonts w:hint="eastAsia"/>
          <w:color w:val="000000"/>
          <w:szCs w:val="21"/>
        </w:rPr>
      </w:pPr>
      <w:r>
        <w:rPr>
          <w:rFonts w:hint="eastAsia"/>
          <w:color w:val="000000"/>
          <w:szCs w:val="21"/>
        </w:rPr>
        <w:t>四、药学部负责发生的</w:t>
      </w:r>
      <w:r>
        <w:rPr>
          <w:rFonts w:hint="eastAsia"/>
          <w:color w:val="000000"/>
          <w:szCs w:val="21"/>
        </w:rPr>
        <w:t>ADR</w:t>
      </w:r>
      <w:r>
        <w:rPr>
          <w:rFonts w:hint="eastAsia"/>
          <w:color w:val="000000"/>
          <w:szCs w:val="21"/>
        </w:rPr>
        <w:t>和</w:t>
      </w:r>
      <w:r>
        <w:rPr>
          <w:rFonts w:hint="eastAsia"/>
          <w:color w:val="000000"/>
          <w:szCs w:val="21"/>
        </w:rPr>
        <w:t>ADE</w:t>
      </w:r>
      <w:r>
        <w:rPr>
          <w:rFonts w:hint="eastAsia"/>
          <w:color w:val="000000"/>
          <w:szCs w:val="21"/>
        </w:rPr>
        <w:t>的收集、整理、初步分析评价及上报工作。</w:t>
      </w:r>
    </w:p>
    <w:p w:rsidR="0079502E" w:rsidRDefault="0079502E" w:rsidP="0079502E">
      <w:pPr>
        <w:ind w:firstLineChars="200" w:firstLine="420"/>
        <w:rPr>
          <w:rFonts w:hint="eastAsia"/>
          <w:color w:val="000000"/>
          <w:szCs w:val="21"/>
        </w:rPr>
      </w:pPr>
      <w:r>
        <w:rPr>
          <w:rFonts w:hint="eastAsia"/>
          <w:color w:val="000000"/>
          <w:szCs w:val="21"/>
        </w:rPr>
        <w:t>五、药品不良反应监测委员会对医院发生的药品严重不良反应、事件组织调查，确认和处理。</w:t>
      </w:r>
    </w:p>
    <w:p w:rsidR="0079502E" w:rsidRDefault="0079502E" w:rsidP="0079502E">
      <w:pPr>
        <w:ind w:firstLineChars="200" w:firstLine="420"/>
        <w:rPr>
          <w:rFonts w:hint="eastAsia"/>
          <w:color w:val="000000"/>
          <w:szCs w:val="21"/>
        </w:rPr>
      </w:pPr>
      <w:r>
        <w:rPr>
          <w:rFonts w:hint="eastAsia"/>
          <w:color w:val="000000"/>
          <w:szCs w:val="21"/>
        </w:rPr>
        <w:t>六、药学及时向原报告人反馈有关信息，提醒用药者注意</w:t>
      </w:r>
      <w:r>
        <w:rPr>
          <w:rFonts w:hint="eastAsia"/>
          <w:color w:val="000000"/>
          <w:szCs w:val="21"/>
        </w:rPr>
        <w:t>ADR</w:t>
      </w:r>
      <w:r>
        <w:rPr>
          <w:rFonts w:hint="eastAsia"/>
          <w:color w:val="000000"/>
          <w:szCs w:val="21"/>
        </w:rPr>
        <w:t>和</w:t>
      </w:r>
      <w:r>
        <w:rPr>
          <w:rFonts w:hint="eastAsia"/>
          <w:color w:val="000000"/>
          <w:szCs w:val="21"/>
        </w:rPr>
        <w:t>ADE</w:t>
      </w:r>
      <w:r>
        <w:rPr>
          <w:rFonts w:hint="eastAsia"/>
          <w:color w:val="000000"/>
          <w:szCs w:val="21"/>
        </w:rPr>
        <w:t>的危害性，向医师和患者提供药品安全性方面的资料及用药注意事项。</w:t>
      </w:r>
    </w:p>
    <w:p w:rsidR="0079502E" w:rsidRDefault="0079502E" w:rsidP="0079502E">
      <w:pPr>
        <w:ind w:firstLineChars="200" w:firstLine="420"/>
        <w:rPr>
          <w:rFonts w:hint="eastAsia"/>
          <w:color w:val="000000"/>
          <w:szCs w:val="21"/>
        </w:rPr>
      </w:pPr>
      <w:r>
        <w:rPr>
          <w:rFonts w:hint="eastAsia"/>
          <w:color w:val="000000"/>
          <w:szCs w:val="21"/>
        </w:rPr>
        <w:t>七、药学部负责指导和培养本部门人员的</w:t>
      </w:r>
      <w:r>
        <w:rPr>
          <w:rFonts w:hint="eastAsia"/>
          <w:color w:val="000000"/>
          <w:szCs w:val="21"/>
        </w:rPr>
        <w:t>ADR</w:t>
      </w:r>
      <w:r>
        <w:rPr>
          <w:rFonts w:hint="eastAsia"/>
          <w:color w:val="000000"/>
          <w:szCs w:val="21"/>
        </w:rPr>
        <w:t>监测意识，不断提高监测工作水平。</w:t>
      </w:r>
    </w:p>
    <w:p w:rsidR="0079502E" w:rsidRDefault="0079502E" w:rsidP="0079502E">
      <w:pPr>
        <w:ind w:firstLineChars="200" w:firstLine="420"/>
        <w:rPr>
          <w:rFonts w:hint="eastAsia"/>
          <w:color w:val="000000"/>
          <w:szCs w:val="21"/>
        </w:rPr>
      </w:pPr>
      <w:r>
        <w:rPr>
          <w:rFonts w:hint="eastAsia"/>
          <w:color w:val="000000"/>
          <w:szCs w:val="21"/>
        </w:rPr>
        <w:t>八、在本院范围内发生的</w:t>
      </w:r>
      <w:r>
        <w:rPr>
          <w:rFonts w:hint="eastAsia"/>
          <w:color w:val="000000"/>
          <w:szCs w:val="21"/>
        </w:rPr>
        <w:t>ADR/ADE</w:t>
      </w:r>
      <w:r>
        <w:rPr>
          <w:rFonts w:hint="eastAsia"/>
          <w:color w:val="000000"/>
          <w:szCs w:val="21"/>
        </w:rPr>
        <w:t>应逐级，定期报告，必要时可以越级报告。其中新的或严重的</w:t>
      </w:r>
      <w:r>
        <w:rPr>
          <w:rFonts w:hint="eastAsia"/>
          <w:color w:val="000000"/>
          <w:szCs w:val="21"/>
        </w:rPr>
        <w:t>ADR</w:t>
      </w:r>
      <w:r>
        <w:rPr>
          <w:rFonts w:hint="eastAsia"/>
          <w:color w:val="000000"/>
          <w:szCs w:val="21"/>
        </w:rPr>
        <w:t>应于发现之日起五日内报告，死亡病例须及时报告。</w:t>
      </w:r>
    </w:p>
    <w:p w:rsidR="0079502E" w:rsidRDefault="0079502E" w:rsidP="0079502E">
      <w:pPr>
        <w:ind w:firstLineChars="200" w:firstLine="420"/>
        <w:rPr>
          <w:rFonts w:hint="eastAsia"/>
          <w:color w:val="000000"/>
          <w:szCs w:val="21"/>
        </w:rPr>
      </w:pPr>
      <w:r>
        <w:rPr>
          <w:rFonts w:hint="eastAsia"/>
          <w:color w:val="000000"/>
          <w:szCs w:val="21"/>
        </w:rPr>
        <w:t>九、在作中违反规定、延误不良反应</w:t>
      </w:r>
      <w:r>
        <w:rPr>
          <w:rFonts w:hint="eastAsia"/>
          <w:color w:val="000000"/>
          <w:szCs w:val="21"/>
        </w:rPr>
        <w:t>/</w:t>
      </w:r>
      <w:r>
        <w:rPr>
          <w:rFonts w:hint="eastAsia"/>
          <w:color w:val="000000"/>
          <w:szCs w:val="21"/>
        </w:rPr>
        <w:t>事件报告，未采取有效措施控制严重药品不良反应</w:t>
      </w:r>
      <w:r>
        <w:rPr>
          <w:rFonts w:hint="eastAsia"/>
          <w:color w:val="000000"/>
          <w:szCs w:val="21"/>
        </w:rPr>
        <w:t>/</w:t>
      </w:r>
      <w:r>
        <w:rPr>
          <w:rFonts w:hint="eastAsia"/>
          <w:color w:val="000000"/>
          <w:szCs w:val="21"/>
        </w:rPr>
        <w:t>事件重复发生并造成严重后果的，依照有关规定处理。</w:t>
      </w:r>
    </w:p>
    <w:p w:rsidR="0079502E" w:rsidRDefault="0079502E" w:rsidP="0079502E">
      <w:pPr>
        <w:ind w:firstLineChars="200" w:firstLine="422"/>
        <w:jc w:val="center"/>
        <w:rPr>
          <w:rFonts w:hint="eastAsia"/>
          <w:b/>
          <w:color w:val="000000"/>
          <w:szCs w:val="21"/>
        </w:rPr>
      </w:pPr>
      <w:r>
        <w:rPr>
          <w:rFonts w:hint="eastAsia"/>
          <w:b/>
          <w:color w:val="000000"/>
          <w:szCs w:val="21"/>
        </w:rPr>
        <w:t>附：药品不良反应／事件报告程序</w:t>
      </w:r>
    </w:p>
    <w:p w:rsidR="0079502E" w:rsidRDefault="0079502E" w:rsidP="0079502E">
      <w:pPr>
        <w:ind w:firstLineChars="200" w:firstLine="420"/>
        <w:rPr>
          <w:rFonts w:hint="eastAsia"/>
          <w:color w:val="000000"/>
          <w:szCs w:val="21"/>
        </w:rPr>
      </w:pPr>
      <w:r>
        <w:rPr>
          <w:rFonts w:hint="eastAsia"/>
          <w:color w:val="000000"/>
          <w:szCs w:val="21"/>
        </w:rPr>
        <w:t>根据《中佳人民共和国药品管理法》和《药品不良反应报告和监测管理办法》的有关规定，在本院区域舟发生的药品不良反应，事件</w:t>
      </w:r>
      <w:r>
        <w:rPr>
          <w:rFonts w:hint="eastAsia"/>
          <w:color w:val="000000"/>
          <w:szCs w:val="21"/>
        </w:rPr>
        <w:t>(</w:t>
      </w:r>
      <w:proofErr w:type="spellStart"/>
      <w:r>
        <w:rPr>
          <w:rFonts w:hint="eastAsia"/>
          <w:color w:val="000000"/>
          <w:szCs w:val="21"/>
        </w:rPr>
        <w:t>AoR</w:t>
      </w:r>
      <w:proofErr w:type="spellEnd"/>
      <w:r>
        <w:rPr>
          <w:rFonts w:hint="eastAsia"/>
          <w:color w:val="000000"/>
          <w:szCs w:val="21"/>
        </w:rPr>
        <w:t>／</w:t>
      </w:r>
      <w:r>
        <w:rPr>
          <w:rFonts w:hint="eastAsia"/>
          <w:color w:val="000000"/>
          <w:szCs w:val="21"/>
        </w:rPr>
        <w:t>ADE)</w:t>
      </w:r>
      <w:r>
        <w:rPr>
          <w:rFonts w:hint="eastAsia"/>
          <w:color w:val="000000"/>
          <w:szCs w:val="21"/>
        </w:rPr>
        <w:t>应逐级、定期报告．必要时可以越级报告。其中新的或严重的</w:t>
      </w:r>
      <w:r>
        <w:rPr>
          <w:rFonts w:hint="eastAsia"/>
          <w:color w:val="000000"/>
          <w:szCs w:val="21"/>
        </w:rPr>
        <w:t>A</w:t>
      </w:r>
      <w:r>
        <w:rPr>
          <w:rFonts w:hint="eastAsia"/>
          <w:color w:val="000000"/>
          <w:szCs w:val="21"/>
        </w:rPr>
        <w:t>。</w:t>
      </w:r>
      <w:r>
        <w:rPr>
          <w:rFonts w:hint="eastAsia"/>
          <w:color w:val="000000"/>
          <w:szCs w:val="21"/>
        </w:rPr>
        <w:t>R</w:t>
      </w:r>
      <w:r>
        <w:rPr>
          <w:rFonts w:hint="eastAsia"/>
          <w:color w:val="000000"/>
          <w:szCs w:val="21"/>
        </w:rPr>
        <w:t>应于发现</w:t>
      </w:r>
      <w:r>
        <w:rPr>
          <w:rFonts w:hint="eastAsia"/>
          <w:color w:val="000000"/>
          <w:szCs w:val="21"/>
        </w:rPr>
        <w:t>z</w:t>
      </w:r>
      <w:r>
        <w:rPr>
          <w:rFonts w:hint="eastAsia"/>
          <w:color w:val="000000"/>
          <w:szCs w:val="21"/>
        </w:rPr>
        <w:t>日起五日内报告．死亡病例须及时报告。具体报告程序如下。</w:t>
      </w:r>
    </w:p>
    <w:p w:rsidR="0079502E" w:rsidRDefault="0079502E" w:rsidP="0079502E">
      <w:pPr>
        <w:ind w:firstLineChars="200" w:firstLine="420"/>
        <w:rPr>
          <w:rFonts w:hint="eastAsia"/>
          <w:color w:val="000000"/>
          <w:szCs w:val="21"/>
        </w:rPr>
      </w:pPr>
      <w:r>
        <w:rPr>
          <w:rFonts w:hint="eastAsia"/>
          <w:color w:val="000000"/>
          <w:szCs w:val="21"/>
        </w:rPr>
        <w:t>一、住院医师、护士、技师发现可能与用药有关的</w:t>
      </w:r>
      <w:r>
        <w:rPr>
          <w:rFonts w:hint="eastAsia"/>
          <w:color w:val="000000"/>
          <w:szCs w:val="21"/>
        </w:rPr>
        <w:t>ADR</w:t>
      </w:r>
      <w:r>
        <w:rPr>
          <w:rFonts w:hint="eastAsia"/>
          <w:color w:val="000000"/>
          <w:szCs w:val="21"/>
        </w:rPr>
        <w:t>，</w:t>
      </w:r>
      <w:r>
        <w:rPr>
          <w:rFonts w:hint="eastAsia"/>
          <w:color w:val="000000"/>
          <w:szCs w:val="21"/>
        </w:rPr>
        <w:t>ADE</w:t>
      </w:r>
      <w:r>
        <w:rPr>
          <w:rFonts w:hint="eastAsia"/>
          <w:color w:val="000000"/>
          <w:szCs w:val="21"/>
        </w:rPr>
        <w:t>需步评价</w:t>
      </w:r>
      <w:r>
        <w:rPr>
          <w:rFonts w:hint="eastAsia"/>
          <w:color w:val="000000"/>
          <w:szCs w:val="21"/>
        </w:rPr>
        <w:t>AOR</w:t>
      </w:r>
      <w:r>
        <w:rPr>
          <w:rFonts w:hint="eastAsia"/>
          <w:color w:val="000000"/>
          <w:szCs w:val="21"/>
        </w:rPr>
        <w:t>／</w:t>
      </w:r>
      <w:r>
        <w:rPr>
          <w:rFonts w:hint="eastAsia"/>
          <w:color w:val="000000"/>
          <w:szCs w:val="21"/>
        </w:rPr>
        <w:t>ADE</w:t>
      </w:r>
      <w:r>
        <w:rPr>
          <w:rFonts w:hint="eastAsia"/>
          <w:color w:val="000000"/>
          <w:szCs w:val="21"/>
        </w:rPr>
        <w:t>后及时上报药掌部</w:t>
      </w:r>
      <w:r>
        <w:rPr>
          <w:rFonts w:hint="eastAsia"/>
          <w:color w:val="000000"/>
          <w:szCs w:val="21"/>
        </w:rPr>
        <w:t>+</w:t>
      </w:r>
      <w:r>
        <w:rPr>
          <w:rFonts w:hint="eastAsia"/>
          <w:color w:val="000000"/>
          <w:szCs w:val="21"/>
        </w:rPr>
        <w:t>并协助</w:t>
      </w:r>
      <w:r>
        <w:rPr>
          <w:rFonts w:hint="eastAsia"/>
          <w:color w:val="000000"/>
          <w:szCs w:val="21"/>
        </w:rPr>
        <w:t>AOR</w:t>
      </w:r>
      <w:r>
        <w:rPr>
          <w:rFonts w:hint="eastAsia"/>
          <w:color w:val="000000"/>
          <w:szCs w:val="21"/>
        </w:rPr>
        <w:t>／</w:t>
      </w:r>
      <w:r>
        <w:rPr>
          <w:rFonts w:hint="eastAsia"/>
          <w:color w:val="000000"/>
          <w:szCs w:val="21"/>
        </w:rPr>
        <w:t>ADE</w:t>
      </w:r>
      <w:r>
        <w:rPr>
          <w:rFonts w:hint="eastAsia"/>
          <w:color w:val="000000"/>
          <w:szCs w:val="21"/>
        </w:rPr>
        <w:t>的有若人员的调查处理工作如发生群体不良反应</w:t>
      </w:r>
      <w:r>
        <w:rPr>
          <w:rFonts w:hint="eastAsia"/>
          <w:color w:val="000000"/>
          <w:szCs w:val="21"/>
        </w:rPr>
        <w:t>/</w:t>
      </w:r>
      <w:r>
        <w:rPr>
          <w:rFonts w:hint="eastAsia"/>
          <w:color w:val="000000"/>
          <w:szCs w:val="21"/>
        </w:rPr>
        <w:t>事件．则需填写《药品群体不良反应</w:t>
      </w:r>
      <w:r>
        <w:rPr>
          <w:rFonts w:hint="eastAsia"/>
          <w:color w:val="000000"/>
          <w:szCs w:val="21"/>
        </w:rPr>
        <w:t>/</w:t>
      </w:r>
      <w:r>
        <w:rPr>
          <w:rFonts w:hint="eastAsia"/>
          <w:color w:val="000000"/>
          <w:szCs w:val="21"/>
        </w:rPr>
        <w:t>事件报告》</w:t>
      </w:r>
      <w:r>
        <w:rPr>
          <w:rFonts w:hint="eastAsia"/>
          <w:color w:val="000000"/>
          <w:szCs w:val="21"/>
        </w:rPr>
        <w:t>,</w:t>
      </w:r>
      <w:r>
        <w:rPr>
          <w:rFonts w:hint="eastAsia"/>
          <w:color w:val="000000"/>
          <w:szCs w:val="21"/>
        </w:rPr>
        <w:t>并及时上报医院药学部、医务科。</w:t>
      </w:r>
    </w:p>
    <w:p w:rsidR="0079502E" w:rsidRDefault="0079502E" w:rsidP="0079502E">
      <w:pPr>
        <w:ind w:firstLineChars="200" w:firstLine="420"/>
        <w:rPr>
          <w:rFonts w:hint="eastAsia"/>
          <w:color w:val="000000"/>
          <w:szCs w:val="21"/>
        </w:rPr>
      </w:pPr>
      <w:r>
        <w:rPr>
          <w:rFonts w:hint="eastAsia"/>
          <w:color w:val="000000"/>
          <w:szCs w:val="21"/>
        </w:rPr>
        <w:t>二、门诊医师、护士、技师在接诊时遇到可能与用药有关的</w:t>
      </w:r>
      <w:r>
        <w:rPr>
          <w:rFonts w:hint="eastAsia"/>
          <w:color w:val="000000"/>
          <w:szCs w:val="21"/>
        </w:rPr>
        <w:t>ADR</w:t>
      </w:r>
      <w:r>
        <w:rPr>
          <w:rFonts w:hint="eastAsia"/>
          <w:color w:val="000000"/>
          <w:szCs w:val="21"/>
        </w:rPr>
        <w:t>／</w:t>
      </w:r>
      <w:r>
        <w:rPr>
          <w:rFonts w:hint="eastAsia"/>
          <w:color w:val="000000"/>
          <w:szCs w:val="21"/>
        </w:rPr>
        <w:t>ADE</w:t>
      </w:r>
      <w:r>
        <w:rPr>
          <w:rFonts w:hint="eastAsia"/>
          <w:color w:val="000000"/>
          <w:szCs w:val="21"/>
        </w:rPr>
        <w:t>可到药学部领区《凤庆县中医医院药品不良反应</w:t>
      </w:r>
      <w:r>
        <w:rPr>
          <w:rFonts w:hint="eastAsia"/>
          <w:color w:val="000000"/>
          <w:szCs w:val="21"/>
        </w:rPr>
        <w:t>/</w:t>
      </w:r>
      <w:r>
        <w:rPr>
          <w:rFonts w:hint="eastAsia"/>
          <w:color w:val="000000"/>
          <w:szCs w:val="21"/>
        </w:rPr>
        <w:t>事件报告表》根据患者情况准确、客观的填写及时上报，并对患者及时诊治处理。</w:t>
      </w:r>
    </w:p>
    <w:p w:rsidR="0079502E" w:rsidRDefault="0079502E" w:rsidP="0079502E">
      <w:pPr>
        <w:ind w:firstLineChars="200" w:firstLine="420"/>
        <w:rPr>
          <w:rFonts w:hint="eastAsia"/>
          <w:color w:val="000000"/>
          <w:szCs w:val="21"/>
        </w:rPr>
      </w:pPr>
      <w:r>
        <w:rPr>
          <w:rFonts w:hint="eastAsia"/>
          <w:color w:val="000000"/>
          <w:szCs w:val="21"/>
        </w:rPr>
        <w:t>三、药学部</w:t>
      </w:r>
      <w:r>
        <w:rPr>
          <w:rFonts w:hint="eastAsia"/>
          <w:color w:val="000000"/>
          <w:szCs w:val="21"/>
        </w:rPr>
        <w:t>ADR</w:t>
      </w:r>
      <w:r>
        <w:rPr>
          <w:rFonts w:hint="eastAsia"/>
          <w:color w:val="000000"/>
          <w:szCs w:val="21"/>
        </w:rPr>
        <w:t>／</w:t>
      </w:r>
      <w:r>
        <w:rPr>
          <w:rFonts w:hint="eastAsia"/>
          <w:color w:val="000000"/>
          <w:szCs w:val="21"/>
        </w:rPr>
        <w:t>ADE</w:t>
      </w:r>
      <w:r>
        <w:rPr>
          <w:rFonts w:hint="eastAsia"/>
          <w:color w:val="000000"/>
          <w:szCs w:val="21"/>
        </w:rPr>
        <w:t>滥删人员对收集的报表进行必要的调查、分析、评价、处理．通过电子表格的形式，每季度向按时在</w:t>
      </w:r>
      <w:r>
        <w:rPr>
          <w:rFonts w:hint="eastAsia"/>
          <w:color w:val="000000"/>
          <w:szCs w:val="21"/>
        </w:rPr>
        <w:t>ADR/ADE</w:t>
      </w:r>
      <w:r>
        <w:rPr>
          <w:rFonts w:hint="eastAsia"/>
          <w:color w:val="000000"/>
          <w:szCs w:val="21"/>
        </w:rPr>
        <w:t>监测中心网上直报。</w:t>
      </w:r>
    </w:p>
    <w:p w:rsidR="0079502E" w:rsidRDefault="0079502E" w:rsidP="0079502E">
      <w:pPr>
        <w:ind w:firstLineChars="200" w:firstLine="420"/>
        <w:rPr>
          <w:rFonts w:hint="eastAsia"/>
          <w:color w:val="000000"/>
          <w:szCs w:val="21"/>
        </w:rPr>
      </w:pPr>
      <w:r>
        <w:rPr>
          <w:rFonts w:hint="eastAsia"/>
          <w:color w:val="000000"/>
          <w:szCs w:val="21"/>
        </w:rPr>
        <w:t>四、对新的、严重、突发、群发影响较大并造成严重后果的</w:t>
      </w:r>
      <w:r>
        <w:rPr>
          <w:rFonts w:hint="eastAsia"/>
          <w:color w:val="000000"/>
          <w:szCs w:val="21"/>
        </w:rPr>
        <w:t>ADR</w:t>
      </w:r>
      <w:r>
        <w:rPr>
          <w:rFonts w:hint="eastAsia"/>
          <w:color w:val="000000"/>
          <w:szCs w:val="21"/>
        </w:rPr>
        <w:t>／</w:t>
      </w:r>
      <w:r>
        <w:rPr>
          <w:rFonts w:hint="eastAsia"/>
          <w:color w:val="000000"/>
          <w:szCs w:val="21"/>
        </w:rPr>
        <w:t>ADE</w:t>
      </w:r>
      <w:r>
        <w:rPr>
          <w:rFonts w:hint="eastAsia"/>
          <w:color w:val="000000"/>
          <w:szCs w:val="21"/>
        </w:rPr>
        <w:t>，应当天上报</w:t>
      </w:r>
      <w:r>
        <w:rPr>
          <w:rFonts w:hint="eastAsia"/>
          <w:color w:val="000000"/>
          <w:szCs w:val="21"/>
        </w:rPr>
        <w:t>A</w:t>
      </w:r>
      <w:r>
        <w:rPr>
          <w:rFonts w:hint="eastAsia"/>
          <w:color w:val="000000"/>
          <w:szCs w:val="21"/>
        </w:rPr>
        <w:t>药学部和医务科。药学部和医务科提交</w:t>
      </w:r>
      <w:r>
        <w:rPr>
          <w:rFonts w:hint="eastAsia"/>
          <w:color w:val="000000"/>
          <w:szCs w:val="21"/>
        </w:rPr>
        <w:t>ADR</w:t>
      </w:r>
      <w:r>
        <w:rPr>
          <w:rFonts w:hint="eastAsia"/>
          <w:color w:val="000000"/>
          <w:szCs w:val="21"/>
        </w:rPr>
        <w:t>监测委员会在组织有关专家讨论调查、核实后作出关联性评价后，</w:t>
      </w:r>
      <w:r>
        <w:rPr>
          <w:rFonts w:hint="eastAsia"/>
          <w:color w:val="000000"/>
          <w:szCs w:val="21"/>
        </w:rPr>
        <w:lastRenderedPageBreak/>
        <w:t>按要求上报。</w:t>
      </w:r>
    </w:p>
    <w:p w:rsidR="0079502E" w:rsidRDefault="0079502E" w:rsidP="0079502E">
      <w:pPr>
        <w:ind w:firstLineChars="200" w:firstLine="420"/>
        <w:rPr>
          <w:rFonts w:hint="eastAsia"/>
          <w:color w:val="000000"/>
          <w:szCs w:val="21"/>
        </w:rPr>
      </w:pPr>
      <w:r>
        <w:rPr>
          <w:rFonts w:hint="eastAsia"/>
          <w:color w:val="000000"/>
          <w:szCs w:val="21"/>
        </w:rPr>
        <w:t>5 .</w:t>
      </w:r>
      <w:r>
        <w:rPr>
          <w:rFonts w:hint="eastAsia"/>
          <w:color w:val="000000"/>
          <w:szCs w:val="21"/>
        </w:rPr>
        <w:t>一般的</w:t>
      </w:r>
      <w:r>
        <w:rPr>
          <w:rFonts w:hint="eastAsia"/>
          <w:color w:val="000000"/>
          <w:szCs w:val="21"/>
        </w:rPr>
        <w:t>ADR/ADE</w:t>
      </w:r>
      <w:r>
        <w:rPr>
          <w:rFonts w:hint="eastAsia"/>
          <w:color w:val="000000"/>
          <w:szCs w:val="21"/>
        </w:rPr>
        <w:t>应在</w:t>
      </w:r>
      <w:r>
        <w:rPr>
          <w:rFonts w:hint="eastAsia"/>
          <w:color w:val="000000"/>
          <w:szCs w:val="21"/>
        </w:rPr>
        <w:t>7</w:t>
      </w:r>
      <w:r>
        <w:rPr>
          <w:rFonts w:hint="eastAsia"/>
          <w:color w:val="000000"/>
          <w:szCs w:val="21"/>
        </w:rPr>
        <w:t>天报告药学部，新的或严重的药品不良反应应于发现之日起一日内报告，死亡病例须及时报告。</w:t>
      </w:r>
    </w:p>
    <w:p w:rsidR="0079502E" w:rsidRDefault="0079502E" w:rsidP="0079502E">
      <w:pPr>
        <w:ind w:firstLineChars="200" w:firstLine="420"/>
        <w:rPr>
          <w:rFonts w:hint="eastAsia"/>
          <w:color w:val="000000"/>
          <w:szCs w:val="21"/>
        </w:rPr>
      </w:pPr>
      <w:r>
        <w:rPr>
          <w:rFonts w:hint="eastAsia"/>
          <w:color w:val="000000"/>
          <w:szCs w:val="21"/>
        </w:rPr>
        <w:t>6</w:t>
      </w:r>
      <w:r>
        <w:rPr>
          <w:rFonts w:hint="eastAsia"/>
          <w:color w:val="000000"/>
          <w:szCs w:val="21"/>
        </w:rPr>
        <w:t>、药学部</w:t>
      </w:r>
      <w:r>
        <w:rPr>
          <w:rFonts w:hint="eastAsia"/>
          <w:color w:val="000000"/>
          <w:szCs w:val="21"/>
        </w:rPr>
        <w:t>AOR</w:t>
      </w:r>
      <w:r>
        <w:rPr>
          <w:rFonts w:hint="eastAsia"/>
          <w:color w:val="000000"/>
          <w:szCs w:val="21"/>
        </w:rPr>
        <w:t>／</w:t>
      </w:r>
      <w:r>
        <w:rPr>
          <w:rFonts w:hint="eastAsia"/>
          <w:color w:val="000000"/>
          <w:szCs w:val="21"/>
        </w:rPr>
        <w:t>ADE</w:t>
      </w:r>
      <w:r>
        <w:rPr>
          <w:rFonts w:hint="eastAsia"/>
          <w:color w:val="000000"/>
          <w:szCs w:val="21"/>
        </w:rPr>
        <w:t>监测人员应向最初原报告人反馈所报</w:t>
      </w:r>
      <w:r>
        <w:rPr>
          <w:rFonts w:hint="eastAsia"/>
          <w:color w:val="000000"/>
          <w:szCs w:val="21"/>
        </w:rPr>
        <w:t>AOR</w:t>
      </w:r>
      <w:r>
        <w:rPr>
          <w:rFonts w:hint="eastAsia"/>
          <w:color w:val="000000"/>
          <w:szCs w:val="21"/>
        </w:rPr>
        <w:t>／</w:t>
      </w:r>
      <w:r>
        <w:rPr>
          <w:rFonts w:hint="eastAsia"/>
          <w:color w:val="000000"/>
          <w:szCs w:val="21"/>
        </w:rPr>
        <w:t>ADE</w:t>
      </w:r>
      <w:r>
        <w:rPr>
          <w:rFonts w:hint="eastAsia"/>
          <w:color w:val="000000"/>
          <w:szCs w:val="21"/>
        </w:rPr>
        <w:t>评价信息提醒用药者注意</w:t>
      </w:r>
      <w:r>
        <w:rPr>
          <w:rFonts w:hint="eastAsia"/>
          <w:color w:val="000000"/>
          <w:szCs w:val="21"/>
        </w:rPr>
        <w:t>ADR /ADE</w:t>
      </w:r>
      <w:r>
        <w:rPr>
          <w:rFonts w:hint="eastAsia"/>
          <w:color w:val="000000"/>
          <w:szCs w:val="21"/>
        </w:rPr>
        <w:t>的危害．向医师和患者提供药品安全性方面的资料最用药注意事项。</w:t>
      </w:r>
    </w:p>
    <w:p w:rsidR="0079502E" w:rsidRDefault="0079502E" w:rsidP="0079502E">
      <w:pPr>
        <w:ind w:firstLineChars="200" w:firstLine="420"/>
        <w:rPr>
          <w:rFonts w:hint="eastAsia"/>
          <w:color w:val="000000"/>
          <w:szCs w:val="21"/>
        </w:rPr>
      </w:pPr>
      <w:r>
        <w:rPr>
          <w:rFonts w:hint="eastAsia"/>
          <w:color w:val="000000"/>
          <w:szCs w:val="21"/>
        </w:rPr>
        <w:t>六、药学部每季度将所在地药品不良反应监测中心发布的所在地</w:t>
      </w:r>
      <w:r>
        <w:rPr>
          <w:rFonts w:hint="eastAsia"/>
          <w:color w:val="000000"/>
          <w:szCs w:val="21"/>
        </w:rPr>
        <w:t>ADR</w:t>
      </w:r>
      <w:r>
        <w:rPr>
          <w:rFonts w:hint="eastAsia"/>
          <w:color w:val="000000"/>
          <w:szCs w:val="21"/>
        </w:rPr>
        <w:t>季度报表总体情况反馈表、政策法规、国内外动态及医院药品不良反应典型病例在医院内网及医院《简报》上及时刊登。</w:t>
      </w:r>
    </w:p>
    <w:p w:rsidR="0079502E" w:rsidRDefault="0079502E" w:rsidP="0079502E">
      <w:pPr>
        <w:ind w:firstLineChars="200" w:firstLine="420"/>
        <w:rPr>
          <w:rFonts w:hint="eastAsia"/>
          <w:color w:val="000000"/>
          <w:szCs w:val="21"/>
        </w:rPr>
      </w:pPr>
      <w:r>
        <w:rPr>
          <w:rFonts w:hint="eastAsia"/>
          <w:color w:val="000000"/>
          <w:szCs w:val="21"/>
        </w:rPr>
        <w:t>七、说明</w:t>
      </w:r>
    </w:p>
    <w:p w:rsidR="0079502E" w:rsidRDefault="0079502E" w:rsidP="0079502E">
      <w:pPr>
        <w:ind w:firstLineChars="200" w:firstLine="420"/>
        <w:rPr>
          <w:rFonts w:hint="eastAsia"/>
          <w:color w:val="000000"/>
          <w:szCs w:val="21"/>
        </w:rPr>
      </w:pPr>
      <w:r>
        <w:rPr>
          <w:rFonts w:hint="eastAsia"/>
          <w:color w:val="000000"/>
          <w:szCs w:val="21"/>
        </w:rPr>
        <w:t>（一）严重药品不良反应是指困使用药品引起以下损害情形之一的反应</w:t>
      </w:r>
    </w:p>
    <w:p w:rsidR="0079502E" w:rsidRDefault="0079502E" w:rsidP="0079502E">
      <w:pPr>
        <w:ind w:firstLineChars="200" w:firstLine="420"/>
        <w:rPr>
          <w:rFonts w:hint="eastAsia"/>
          <w:color w:val="000000"/>
          <w:szCs w:val="21"/>
        </w:rPr>
      </w:pPr>
      <w:r>
        <w:rPr>
          <w:rFonts w:hint="eastAsia"/>
          <w:color w:val="000000"/>
          <w:szCs w:val="21"/>
        </w:rPr>
        <w:t>1</w:t>
      </w:r>
      <w:r>
        <w:rPr>
          <w:rFonts w:hint="eastAsia"/>
          <w:color w:val="000000"/>
          <w:szCs w:val="21"/>
        </w:rPr>
        <w:t>、导致死亡；</w:t>
      </w:r>
    </w:p>
    <w:p w:rsidR="0079502E" w:rsidRDefault="0079502E" w:rsidP="0079502E">
      <w:pPr>
        <w:ind w:firstLineChars="200" w:firstLine="420"/>
        <w:rPr>
          <w:rFonts w:hint="eastAsia"/>
          <w:color w:val="000000"/>
          <w:szCs w:val="21"/>
        </w:rPr>
      </w:pPr>
      <w:r>
        <w:rPr>
          <w:rFonts w:hint="eastAsia"/>
          <w:color w:val="000000"/>
          <w:szCs w:val="21"/>
        </w:rPr>
        <w:t>2</w:t>
      </w:r>
      <w:r>
        <w:rPr>
          <w:rFonts w:hint="eastAsia"/>
          <w:color w:val="000000"/>
          <w:szCs w:val="21"/>
        </w:rPr>
        <w:t>、危及生命；</w:t>
      </w:r>
    </w:p>
    <w:p w:rsidR="0079502E" w:rsidRDefault="0079502E" w:rsidP="0079502E">
      <w:pPr>
        <w:ind w:firstLineChars="200" w:firstLine="420"/>
        <w:rPr>
          <w:rFonts w:hint="eastAsia"/>
          <w:color w:val="000000"/>
          <w:szCs w:val="21"/>
        </w:rPr>
      </w:pPr>
      <w:r>
        <w:rPr>
          <w:rFonts w:hint="eastAsia"/>
          <w:color w:val="000000"/>
          <w:szCs w:val="21"/>
        </w:rPr>
        <w:t>3</w:t>
      </w:r>
      <w:r>
        <w:rPr>
          <w:rFonts w:hint="eastAsia"/>
          <w:color w:val="000000"/>
          <w:szCs w:val="21"/>
        </w:rPr>
        <w:t>、致癌、致畸、致出生缺陷；</w:t>
      </w:r>
    </w:p>
    <w:p w:rsidR="0079502E" w:rsidRDefault="0079502E" w:rsidP="0079502E">
      <w:pPr>
        <w:ind w:firstLineChars="200" w:firstLine="420"/>
        <w:rPr>
          <w:rFonts w:hint="eastAsia"/>
          <w:color w:val="000000"/>
          <w:szCs w:val="21"/>
        </w:rPr>
      </w:pPr>
      <w:r>
        <w:rPr>
          <w:rFonts w:hint="eastAsia"/>
          <w:color w:val="000000"/>
          <w:szCs w:val="21"/>
        </w:rPr>
        <w:t>5</w:t>
      </w:r>
      <w:r>
        <w:rPr>
          <w:rFonts w:hint="eastAsia"/>
          <w:color w:val="000000"/>
          <w:szCs w:val="21"/>
        </w:rPr>
        <w:t>、导致显著的或者永久的人体伤残或者器官功能的损伤；</w:t>
      </w:r>
    </w:p>
    <w:p w:rsidR="0079502E" w:rsidRDefault="0079502E" w:rsidP="0079502E">
      <w:pPr>
        <w:ind w:firstLineChars="200" w:firstLine="420"/>
        <w:rPr>
          <w:rFonts w:hint="eastAsia"/>
          <w:color w:val="000000"/>
          <w:szCs w:val="21"/>
        </w:rPr>
      </w:pPr>
      <w:r>
        <w:rPr>
          <w:rFonts w:hint="eastAsia"/>
          <w:color w:val="000000"/>
          <w:szCs w:val="21"/>
        </w:rPr>
        <w:t>6</w:t>
      </w:r>
      <w:r>
        <w:rPr>
          <w:rFonts w:hint="eastAsia"/>
          <w:color w:val="000000"/>
          <w:szCs w:val="21"/>
        </w:rPr>
        <w:t>、导致住院或者住院时间延长：</w:t>
      </w:r>
    </w:p>
    <w:p w:rsidR="0079502E" w:rsidRDefault="0079502E" w:rsidP="0079502E">
      <w:pPr>
        <w:ind w:firstLineChars="200" w:firstLine="420"/>
        <w:rPr>
          <w:rFonts w:hint="eastAsia"/>
          <w:color w:val="000000"/>
          <w:szCs w:val="21"/>
        </w:rPr>
      </w:pPr>
      <w:r>
        <w:rPr>
          <w:rFonts w:hint="eastAsia"/>
          <w:color w:val="000000"/>
          <w:szCs w:val="21"/>
        </w:rPr>
        <w:t>7</w:t>
      </w:r>
      <w:r>
        <w:rPr>
          <w:rFonts w:hint="eastAsia"/>
          <w:color w:val="000000"/>
          <w:szCs w:val="21"/>
        </w:rPr>
        <w:t>、导致其他重要医学事件，如不进行治疗可能出现上述所列情况的。</w:t>
      </w:r>
    </w:p>
    <w:p w:rsidR="0079502E" w:rsidRDefault="0079502E" w:rsidP="0079502E">
      <w:pPr>
        <w:ind w:firstLineChars="200" w:firstLine="420"/>
        <w:rPr>
          <w:rFonts w:hint="eastAsia"/>
          <w:color w:val="000000"/>
          <w:szCs w:val="21"/>
        </w:rPr>
      </w:pPr>
      <w:r>
        <w:rPr>
          <w:rFonts w:hint="eastAsia"/>
          <w:color w:val="000000"/>
          <w:szCs w:val="21"/>
        </w:rPr>
        <w:t>（二）新的药品不良反应，是指药品说明中未载明的不良反应。说明书中已有描述，但不良反应发生的性质、程度、后果或者频率与说明书描述不一致或者更严重的，按照新的药品不良反应处理。</w:t>
      </w:r>
    </w:p>
    <w:p w:rsidR="0079502E" w:rsidRDefault="0079502E" w:rsidP="0079502E">
      <w:pPr>
        <w:ind w:firstLineChars="200" w:firstLine="420"/>
        <w:rPr>
          <w:rFonts w:hint="eastAsia"/>
          <w:color w:val="000000"/>
          <w:szCs w:val="21"/>
        </w:rPr>
      </w:pPr>
      <w:r>
        <w:rPr>
          <w:rFonts w:hint="eastAsia"/>
          <w:color w:val="000000"/>
          <w:szCs w:val="21"/>
        </w:rPr>
        <w:t>（三）怀疑药品：是指患者使用的怀疑与不良反应发生有关的药品。</w:t>
      </w:r>
    </w:p>
    <w:p w:rsidR="0079502E" w:rsidRDefault="0079502E" w:rsidP="0079502E">
      <w:pPr>
        <w:ind w:firstLineChars="200" w:firstLine="420"/>
        <w:rPr>
          <w:rFonts w:hint="eastAsia"/>
          <w:color w:val="000000"/>
          <w:szCs w:val="21"/>
        </w:rPr>
      </w:pPr>
      <w:r>
        <w:rPr>
          <w:rFonts w:hint="eastAsia"/>
          <w:color w:val="000000"/>
          <w:szCs w:val="21"/>
        </w:rPr>
        <w:t>（四）并用药品：指发生此药品不良反应时患者除怀疑药品外的其他用药情况，包括患者自行购买的药品或中草药等。</w:t>
      </w:r>
    </w:p>
    <w:p w:rsidR="0079502E" w:rsidRDefault="0079502E" w:rsidP="0079502E">
      <w:pPr>
        <w:ind w:firstLineChars="200" w:firstLine="420"/>
        <w:rPr>
          <w:rFonts w:hint="eastAsia"/>
          <w:color w:val="000000"/>
          <w:szCs w:val="21"/>
        </w:rPr>
      </w:pPr>
      <w:r>
        <w:rPr>
          <w:rFonts w:hint="eastAsia"/>
          <w:color w:val="000000"/>
          <w:szCs w:val="21"/>
        </w:rPr>
        <w:t>（五）用法用量：包括每次用药剂量、给药途径、每日给药次数，例如：</w:t>
      </w:r>
      <w:r>
        <w:rPr>
          <w:rFonts w:hint="eastAsia"/>
          <w:color w:val="000000"/>
          <w:szCs w:val="21"/>
        </w:rPr>
        <w:t>5mg</w:t>
      </w:r>
      <w:r>
        <w:rPr>
          <w:rFonts w:hint="eastAsia"/>
          <w:color w:val="000000"/>
          <w:szCs w:val="21"/>
        </w:rPr>
        <w:t>，口服，每日</w:t>
      </w:r>
      <w:r>
        <w:rPr>
          <w:rFonts w:hint="eastAsia"/>
          <w:color w:val="000000"/>
          <w:szCs w:val="21"/>
        </w:rPr>
        <w:t>2</w:t>
      </w:r>
      <w:r>
        <w:rPr>
          <w:rFonts w:hint="eastAsia"/>
          <w:color w:val="000000"/>
          <w:szCs w:val="21"/>
        </w:rPr>
        <w:t>次。</w:t>
      </w:r>
    </w:p>
    <w:p w:rsidR="0079502E" w:rsidRDefault="0079502E" w:rsidP="0079502E">
      <w:pPr>
        <w:ind w:firstLineChars="200" w:firstLine="420"/>
        <w:rPr>
          <w:rFonts w:hint="eastAsia"/>
          <w:color w:val="000000"/>
          <w:szCs w:val="21"/>
        </w:rPr>
      </w:pPr>
      <w:r>
        <w:rPr>
          <w:rFonts w:hint="eastAsia"/>
          <w:color w:val="000000"/>
          <w:szCs w:val="21"/>
        </w:rPr>
        <w:t>附表</w:t>
      </w:r>
      <w:r>
        <w:rPr>
          <w:rFonts w:hint="eastAsia"/>
          <w:color w:val="000000"/>
          <w:szCs w:val="21"/>
        </w:rPr>
        <w:t>1</w:t>
      </w:r>
      <w:r>
        <w:rPr>
          <w:rFonts w:hint="eastAsia"/>
          <w:color w:val="000000"/>
          <w:szCs w:val="21"/>
        </w:rPr>
        <w:t>：药品不良反应</w:t>
      </w:r>
      <w:r>
        <w:rPr>
          <w:rFonts w:hint="eastAsia"/>
          <w:color w:val="000000"/>
          <w:szCs w:val="21"/>
        </w:rPr>
        <w:t>/</w:t>
      </w:r>
      <w:r>
        <w:rPr>
          <w:rFonts w:hint="eastAsia"/>
          <w:color w:val="000000"/>
          <w:szCs w:val="21"/>
        </w:rPr>
        <w:t>事件报告表</w:t>
      </w:r>
    </w:p>
    <w:p w:rsidR="0079502E" w:rsidRDefault="0079502E" w:rsidP="0079502E">
      <w:pPr>
        <w:ind w:firstLineChars="200" w:firstLine="420"/>
        <w:rPr>
          <w:rFonts w:hint="eastAsia"/>
          <w:color w:val="000000"/>
          <w:szCs w:val="21"/>
        </w:rPr>
        <w:sectPr w:rsidR="0079502E">
          <w:pgSz w:w="12240" w:h="15840"/>
          <w:pgMar w:top="1701" w:right="1418" w:bottom="1701" w:left="1418" w:header="720" w:footer="720" w:gutter="0"/>
          <w:cols w:space="720"/>
          <w:docGrid w:type="lines" w:linePitch="312"/>
        </w:sectPr>
      </w:pPr>
      <w:r>
        <w:rPr>
          <w:rFonts w:hint="eastAsia"/>
          <w:color w:val="000000"/>
          <w:szCs w:val="21"/>
        </w:rPr>
        <w:t>附表</w:t>
      </w:r>
      <w:r>
        <w:rPr>
          <w:rFonts w:hint="eastAsia"/>
          <w:color w:val="000000"/>
          <w:szCs w:val="21"/>
        </w:rPr>
        <w:t>2</w:t>
      </w:r>
      <w:r>
        <w:rPr>
          <w:rFonts w:hint="eastAsia"/>
          <w:color w:val="000000"/>
          <w:szCs w:val="21"/>
        </w:rPr>
        <w:t>：药品群体不良事件基本信息表</w:t>
      </w:r>
    </w:p>
    <w:p w:rsidR="0079502E" w:rsidRDefault="0079502E" w:rsidP="0079502E">
      <w:pPr>
        <w:ind w:firstLineChars="200" w:firstLine="420"/>
        <w:rPr>
          <w:rFonts w:hint="eastAsia"/>
          <w:color w:val="000000"/>
          <w:szCs w:val="21"/>
        </w:rPr>
      </w:pPr>
      <w:r>
        <w:rPr>
          <w:rFonts w:hint="eastAsia"/>
          <w:color w:val="000000"/>
          <w:szCs w:val="21"/>
        </w:rPr>
        <w:lastRenderedPageBreak/>
        <w:t>附表</w:t>
      </w:r>
      <w:r>
        <w:rPr>
          <w:rFonts w:hint="eastAsia"/>
          <w:color w:val="000000"/>
          <w:szCs w:val="21"/>
        </w:rPr>
        <w:t>1</w:t>
      </w:r>
    </w:p>
    <w:p w:rsidR="0079502E" w:rsidRDefault="0079502E" w:rsidP="0079502E">
      <w:pPr>
        <w:ind w:firstLineChars="200" w:firstLine="420"/>
        <w:rPr>
          <w:rFonts w:hint="eastAsia"/>
          <w:color w:val="000000"/>
          <w:szCs w:val="21"/>
        </w:rPr>
      </w:pPr>
      <w:r>
        <w:rPr>
          <w:rFonts w:hint="eastAsia"/>
          <w:color w:val="000000"/>
          <w:szCs w:val="21"/>
        </w:rPr>
        <w:t>药品不良反应</w:t>
      </w:r>
      <w:r>
        <w:rPr>
          <w:rFonts w:hint="eastAsia"/>
          <w:color w:val="000000"/>
          <w:szCs w:val="21"/>
        </w:rPr>
        <w:t>/</w:t>
      </w:r>
      <w:r>
        <w:rPr>
          <w:rFonts w:hint="eastAsia"/>
          <w:color w:val="000000"/>
          <w:szCs w:val="21"/>
        </w:rPr>
        <w:t>事件报告表</w:t>
      </w:r>
    </w:p>
    <w:p w:rsidR="0079502E" w:rsidRDefault="0079502E" w:rsidP="0079502E">
      <w:pPr>
        <w:ind w:firstLineChars="200" w:firstLine="420"/>
        <w:rPr>
          <w:rFonts w:hint="eastAsia"/>
          <w:color w:val="000000"/>
          <w:szCs w:val="21"/>
        </w:rPr>
      </w:pPr>
      <w:r>
        <w:rPr>
          <w:rFonts w:hint="eastAsia"/>
          <w:color w:val="000000"/>
          <w:szCs w:val="21"/>
        </w:rPr>
        <w:t>首次报告口</w:t>
      </w:r>
      <w:r>
        <w:rPr>
          <w:rFonts w:hint="eastAsia"/>
          <w:color w:val="000000"/>
          <w:szCs w:val="21"/>
        </w:rPr>
        <w:t xml:space="preserve">     </w:t>
      </w:r>
      <w:r>
        <w:rPr>
          <w:rFonts w:hint="eastAsia"/>
          <w:color w:val="000000"/>
          <w:szCs w:val="21"/>
        </w:rPr>
        <w:t>跟踪报告口</w:t>
      </w:r>
      <w:r>
        <w:rPr>
          <w:rFonts w:hint="eastAsia"/>
          <w:color w:val="000000"/>
          <w:szCs w:val="21"/>
        </w:rPr>
        <w:t xml:space="preserve">                </w:t>
      </w:r>
      <w:r>
        <w:rPr>
          <w:rFonts w:hint="eastAsia"/>
          <w:color w:val="000000"/>
          <w:szCs w:val="21"/>
        </w:rPr>
        <w:t>编码：</w:t>
      </w:r>
    </w:p>
    <w:p w:rsidR="0079502E" w:rsidRDefault="0079502E" w:rsidP="0079502E">
      <w:pPr>
        <w:ind w:firstLineChars="200" w:firstLine="420"/>
        <w:rPr>
          <w:rFonts w:hint="eastAsia"/>
          <w:color w:val="000000"/>
          <w:szCs w:val="21"/>
        </w:rPr>
      </w:pPr>
      <w:r>
        <w:rPr>
          <w:rFonts w:hint="eastAsia"/>
          <w:color w:val="000000"/>
          <w:szCs w:val="21"/>
        </w:rPr>
        <w:t>报告类型：新的口</w:t>
      </w:r>
      <w:r>
        <w:rPr>
          <w:rFonts w:hint="eastAsia"/>
          <w:color w:val="000000"/>
          <w:szCs w:val="21"/>
        </w:rPr>
        <w:t xml:space="preserve">  </w:t>
      </w:r>
      <w:r>
        <w:rPr>
          <w:rFonts w:hint="eastAsia"/>
          <w:color w:val="000000"/>
          <w:szCs w:val="21"/>
        </w:rPr>
        <w:t>严重口</w:t>
      </w:r>
      <w:r>
        <w:rPr>
          <w:rFonts w:hint="eastAsia"/>
          <w:color w:val="000000"/>
          <w:szCs w:val="21"/>
        </w:rPr>
        <w:t xml:space="preserve"> </w:t>
      </w:r>
      <w:r>
        <w:rPr>
          <w:rFonts w:hint="eastAsia"/>
          <w:color w:val="000000"/>
          <w:szCs w:val="21"/>
        </w:rPr>
        <w:t>一般口</w:t>
      </w:r>
      <w:r>
        <w:rPr>
          <w:rFonts w:hint="eastAsia"/>
          <w:color w:val="000000"/>
          <w:szCs w:val="21"/>
        </w:rPr>
        <w:t xml:space="preserve"> </w:t>
      </w:r>
      <w:r>
        <w:rPr>
          <w:rFonts w:hint="eastAsia"/>
          <w:color w:val="000000"/>
          <w:szCs w:val="21"/>
        </w:rPr>
        <w:t>报告单位类别：医疗机构口</w:t>
      </w:r>
      <w:r>
        <w:rPr>
          <w:rFonts w:hint="eastAsia"/>
          <w:color w:val="000000"/>
          <w:szCs w:val="21"/>
        </w:rPr>
        <w:t xml:space="preserve">  </w:t>
      </w:r>
      <w:r>
        <w:rPr>
          <w:rFonts w:hint="eastAsia"/>
          <w:color w:val="000000"/>
          <w:szCs w:val="21"/>
        </w:rPr>
        <w:t>经营企业口</w:t>
      </w:r>
      <w:r>
        <w:rPr>
          <w:rFonts w:hint="eastAsia"/>
          <w:color w:val="000000"/>
          <w:szCs w:val="21"/>
        </w:rPr>
        <w:t xml:space="preserve"> </w:t>
      </w:r>
      <w:r>
        <w:rPr>
          <w:rFonts w:hint="eastAsia"/>
          <w:color w:val="000000"/>
          <w:szCs w:val="21"/>
        </w:rPr>
        <w:t>生产企业口</w:t>
      </w:r>
      <w:r>
        <w:rPr>
          <w:rFonts w:hint="eastAsia"/>
          <w:color w:val="000000"/>
          <w:szCs w:val="21"/>
        </w:rPr>
        <w:t xml:space="preserve"> </w:t>
      </w:r>
      <w:r>
        <w:rPr>
          <w:rFonts w:hint="eastAsia"/>
          <w:color w:val="000000"/>
          <w:szCs w:val="21"/>
        </w:rPr>
        <w:t>个人口</w:t>
      </w:r>
      <w:r>
        <w:rPr>
          <w:rFonts w:hint="eastAsia"/>
          <w:color w:val="000000"/>
          <w:szCs w:val="21"/>
        </w:rPr>
        <w:t xml:space="preserve"> </w:t>
      </w:r>
      <w:r>
        <w:rPr>
          <w:rFonts w:hint="eastAsia"/>
          <w:color w:val="000000"/>
          <w:szCs w:val="21"/>
        </w:rPr>
        <w:t>其他口</w:t>
      </w:r>
    </w:p>
    <w:p w:rsidR="0079502E" w:rsidRDefault="0079502E" w:rsidP="0079502E">
      <w:pPr>
        <w:ind w:leftChars="-171" w:left="-359"/>
        <w:rPr>
          <w:rFonts w:hint="eastAsia"/>
          <w:color w:val="000000"/>
          <w:szCs w:val="21"/>
        </w:rPr>
      </w:pPr>
      <w:r>
        <w:rPr>
          <w:rFonts w:hint="eastAsia"/>
          <w:noProof/>
          <w:color w:val="000000"/>
          <w:sz w:val="28"/>
          <w:szCs w:val="28"/>
        </w:rPr>
        <w:drawing>
          <wp:inline distT="0" distB="0" distL="0" distR="0">
            <wp:extent cx="6506845" cy="6570980"/>
            <wp:effectExtent l="19050" t="0" r="8255"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lum bright="-18000" contrast="60000"/>
                    </a:blip>
                    <a:srcRect/>
                    <a:stretch>
                      <a:fillRect/>
                    </a:stretch>
                  </pic:blipFill>
                  <pic:spPr bwMode="auto">
                    <a:xfrm>
                      <a:off x="0" y="0"/>
                      <a:ext cx="6506845" cy="6570980"/>
                    </a:xfrm>
                    <a:prstGeom prst="rect">
                      <a:avLst/>
                    </a:prstGeom>
                    <a:noFill/>
                    <a:ln w="9525">
                      <a:noFill/>
                      <a:miter lim="800000"/>
                      <a:headEnd/>
                      <a:tailEnd/>
                    </a:ln>
                  </pic:spPr>
                </pic:pic>
              </a:graphicData>
            </a:graphic>
          </wp:inline>
        </w:drawing>
      </w:r>
      <w:r>
        <w:rPr>
          <w:rFonts w:hint="eastAsia"/>
          <w:color w:val="000000"/>
          <w:szCs w:val="21"/>
        </w:rPr>
        <w:t>附表</w:t>
      </w:r>
      <w:r>
        <w:rPr>
          <w:rFonts w:hint="eastAsia"/>
          <w:color w:val="000000"/>
          <w:szCs w:val="21"/>
        </w:rPr>
        <w:t>2</w:t>
      </w:r>
    </w:p>
    <w:p w:rsidR="0079502E" w:rsidRDefault="0079502E" w:rsidP="0079502E">
      <w:pPr>
        <w:jc w:val="center"/>
        <w:rPr>
          <w:rFonts w:hint="eastAsia"/>
          <w:color w:val="000000"/>
          <w:szCs w:val="21"/>
        </w:rPr>
      </w:pPr>
      <w:r>
        <w:rPr>
          <w:rFonts w:hint="eastAsia"/>
          <w:color w:val="000000"/>
          <w:szCs w:val="21"/>
        </w:rPr>
        <w:t>药品群体不良事件基本信息表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084"/>
        <w:gridCol w:w="1265"/>
        <w:gridCol w:w="1138"/>
        <w:gridCol w:w="1379"/>
        <w:gridCol w:w="1379"/>
        <w:gridCol w:w="612"/>
        <w:gridCol w:w="768"/>
        <w:gridCol w:w="1380"/>
      </w:tblGrid>
      <w:tr w:rsidR="0079502E" w:rsidTr="00DC7F6C">
        <w:trPr>
          <w:trHeight w:val="381"/>
        </w:trPr>
        <w:tc>
          <w:tcPr>
            <w:tcW w:w="4137" w:type="dxa"/>
            <w:gridSpan w:val="4"/>
            <w:vAlign w:val="center"/>
          </w:tcPr>
          <w:p w:rsidR="0079502E" w:rsidRDefault="0079502E" w:rsidP="00DC7F6C">
            <w:pPr>
              <w:rPr>
                <w:rFonts w:hint="eastAsia"/>
                <w:color w:val="000000"/>
                <w:szCs w:val="21"/>
              </w:rPr>
            </w:pPr>
            <w:r>
              <w:rPr>
                <w:rFonts w:hint="eastAsia"/>
                <w:color w:val="000000"/>
                <w:szCs w:val="21"/>
              </w:rPr>
              <w:t>发生地区：</w:t>
            </w:r>
          </w:p>
        </w:tc>
        <w:tc>
          <w:tcPr>
            <w:tcW w:w="2758" w:type="dxa"/>
            <w:gridSpan w:val="2"/>
            <w:vAlign w:val="center"/>
          </w:tcPr>
          <w:p w:rsidR="0079502E" w:rsidRDefault="0079502E" w:rsidP="00DC7F6C">
            <w:pPr>
              <w:rPr>
                <w:rFonts w:hint="eastAsia"/>
                <w:color w:val="000000"/>
                <w:szCs w:val="21"/>
              </w:rPr>
            </w:pPr>
            <w:r>
              <w:rPr>
                <w:rFonts w:hint="eastAsia"/>
                <w:color w:val="000000"/>
                <w:szCs w:val="21"/>
              </w:rPr>
              <w:t>使用单位：</w:t>
            </w:r>
          </w:p>
        </w:tc>
        <w:tc>
          <w:tcPr>
            <w:tcW w:w="2760" w:type="dxa"/>
            <w:gridSpan w:val="3"/>
            <w:vAlign w:val="center"/>
          </w:tcPr>
          <w:p w:rsidR="0079502E" w:rsidRDefault="0079502E" w:rsidP="00DC7F6C">
            <w:pPr>
              <w:rPr>
                <w:rFonts w:hint="eastAsia"/>
                <w:color w:val="000000"/>
                <w:szCs w:val="21"/>
              </w:rPr>
            </w:pPr>
            <w:r>
              <w:rPr>
                <w:rFonts w:hint="eastAsia"/>
                <w:color w:val="000000"/>
                <w:szCs w:val="21"/>
              </w:rPr>
              <w:t>用药人数：</w:t>
            </w:r>
          </w:p>
        </w:tc>
      </w:tr>
      <w:tr w:rsidR="0079502E" w:rsidTr="00DC7F6C">
        <w:trPr>
          <w:trHeight w:val="381"/>
        </w:trPr>
        <w:tc>
          <w:tcPr>
            <w:tcW w:w="4137" w:type="dxa"/>
            <w:gridSpan w:val="4"/>
            <w:vAlign w:val="center"/>
          </w:tcPr>
          <w:p w:rsidR="0079502E" w:rsidRDefault="0079502E" w:rsidP="00DC7F6C">
            <w:pPr>
              <w:rPr>
                <w:rFonts w:hint="eastAsia"/>
                <w:color w:val="000000"/>
                <w:szCs w:val="21"/>
              </w:rPr>
            </w:pPr>
            <w:r>
              <w:rPr>
                <w:rFonts w:hint="eastAsia"/>
                <w:color w:val="000000"/>
                <w:szCs w:val="21"/>
              </w:rPr>
              <w:t>发生不良事件人数：</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c>
          <w:tcPr>
            <w:tcW w:w="2758" w:type="dxa"/>
            <w:gridSpan w:val="2"/>
            <w:vAlign w:val="center"/>
          </w:tcPr>
          <w:p w:rsidR="0079502E" w:rsidRDefault="0079502E" w:rsidP="00DC7F6C">
            <w:pPr>
              <w:rPr>
                <w:rFonts w:hint="eastAsia"/>
                <w:color w:val="000000"/>
                <w:szCs w:val="21"/>
              </w:rPr>
            </w:pPr>
            <w:r>
              <w:rPr>
                <w:rFonts w:hint="eastAsia"/>
                <w:color w:val="000000"/>
                <w:szCs w:val="21"/>
              </w:rPr>
              <w:t>严重不良事件人数：</w:t>
            </w:r>
          </w:p>
        </w:tc>
        <w:tc>
          <w:tcPr>
            <w:tcW w:w="2760" w:type="dxa"/>
            <w:gridSpan w:val="3"/>
            <w:vAlign w:val="center"/>
          </w:tcPr>
          <w:p w:rsidR="0079502E" w:rsidRDefault="0079502E" w:rsidP="00DC7F6C">
            <w:pPr>
              <w:rPr>
                <w:rFonts w:hint="eastAsia"/>
                <w:color w:val="000000"/>
                <w:szCs w:val="21"/>
              </w:rPr>
            </w:pPr>
            <w:r>
              <w:rPr>
                <w:rFonts w:hint="eastAsia"/>
                <w:color w:val="000000"/>
                <w:szCs w:val="21"/>
              </w:rPr>
              <w:t>死亡人数：</w:t>
            </w:r>
          </w:p>
        </w:tc>
      </w:tr>
      <w:tr w:rsidR="0079502E" w:rsidTr="00DC7F6C">
        <w:trPr>
          <w:trHeight w:val="381"/>
        </w:trPr>
        <w:tc>
          <w:tcPr>
            <w:tcW w:w="5516" w:type="dxa"/>
            <w:gridSpan w:val="5"/>
            <w:vAlign w:val="center"/>
          </w:tcPr>
          <w:p w:rsidR="0079502E" w:rsidRDefault="0079502E" w:rsidP="00DC7F6C">
            <w:pPr>
              <w:jc w:val="center"/>
              <w:rPr>
                <w:rFonts w:hint="eastAsia"/>
                <w:color w:val="000000"/>
                <w:szCs w:val="21"/>
              </w:rPr>
            </w:pPr>
            <w:r>
              <w:rPr>
                <w:rFonts w:hint="eastAsia"/>
                <w:color w:val="000000"/>
                <w:szCs w:val="21"/>
              </w:rPr>
              <w:lastRenderedPageBreak/>
              <w:t>首例用药日期：</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c>
          <w:tcPr>
            <w:tcW w:w="4139" w:type="dxa"/>
            <w:gridSpan w:val="4"/>
            <w:vAlign w:val="center"/>
          </w:tcPr>
          <w:p w:rsidR="0079502E" w:rsidRDefault="0079502E" w:rsidP="00DC7F6C">
            <w:pPr>
              <w:jc w:val="center"/>
              <w:rPr>
                <w:rFonts w:hint="eastAsia"/>
                <w:color w:val="000000"/>
                <w:szCs w:val="21"/>
              </w:rPr>
            </w:pPr>
            <w:r>
              <w:rPr>
                <w:rFonts w:hint="eastAsia"/>
                <w:color w:val="000000"/>
                <w:szCs w:val="21"/>
              </w:rPr>
              <w:t>首例发生日期：</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c>
      </w:tr>
      <w:tr w:rsidR="0079502E" w:rsidTr="00DC7F6C">
        <w:trPr>
          <w:trHeight w:val="381"/>
        </w:trPr>
        <w:tc>
          <w:tcPr>
            <w:tcW w:w="650" w:type="dxa"/>
            <w:vMerge w:val="restart"/>
            <w:vAlign w:val="center"/>
          </w:tcPr>
          <w:p w:rsidR="0079502E" w:rsidRDefault="0079502E" w:rsidP="00DC7F6C">
            <w:pPr>
              <w:jc w:val="center"/>
              <w:rPr>
                <w:rFonts w:hint="eastAsia"/>
                <w:color w:val="000000"/>
                <w:szCs w:val="21"/>
              </w:rPr>
            </w:pPr>
            <w:r>
              <w:rPr>
                <w:rFonts w:hint="eastAsia"/>
                <w:color w:val="000000"/>
                <w:szCs w:val="21"/>
              </w:rPr>
              <w:t>怀疑药品</w:t>
            </w:r>
          </w:p>
        </w:tc>
        <w:tc>
          <w:tcPr>
            <w:tcW w:w="1084" w:type="dxa"/>
            <w:vAlign w:val="center"/>
          </w:tcPr>
          <w:p w:rsidR="0079502E" w:rsidRDefault="0079502E" w:rsidP="00DC7F6C">
            <w:pPr>
              <w:jc w:val="center"/>
              <w:rPr>
                <w:rFonts w:hint="eastAsia"/>
                <w:color w:val="000000"/>
                <w:szCs w:val="21"/>
              </w:rPr>
            </w:pPr>
            <w:r>
              <w:rPr>
                <w:rFonts w:hint="eastAsia"/>
                <w:color w:val="000000"/>
                <w:szCs w:val="21"/>
              </w:rPr>
              <w:t>商品名</w:t>
            </w:r>
          </w:p>
        </w:tc>
        <w:tc>
          <w:tcPr>
            <w:tcW w:w="1265" w:type="dxa"/>
            <w:vAlign w:val="center"/>
          </w:tcPr>
          <w:p w:rsidR="0079502E" w:rsidRDefault="0079502E" w:rsidP="00DC7F6C">
            <w:pPr>
              <w:jc w:val="center"/>
              <w:rPr>
                <w:rFonts w:hint="eastAsia"/>
                <w:color w:val="000000"/>
                <w:szCs w:val="21"/>
              </w:rPr>
            </w:pPr>
            <w:r>
              <w:rPr>
                <w:rFonts w:hint="eastAsia"/>
                <w:color w:val="000000"/>
                <w:szCs w:val="21"/>
              </w:rPr>
              <w:t>通用名</w:t>
            </w:r>
          </w:p>
        </w:tc>
        <w:tc>
          <w:tcPr>
            <w:tcW w:w="2517" w:type="dxa"/>
            <w:gridSpan w:val="2"/>
            <w:vAlign w:val="center"/>
          </w:tcPr>
          <w:p w:rsidR="0079502E" w:rsidRDefault="0079502E" w:rsidP="00DC7F6C">
            <w:pPr>
              <w:jc w:val="center"/>
              <w:rPr>
                <w:rFonts w:hint="eastAsia"/>
                <w:color w:val="000000"/>
                <w:szCs w:val="21"/>
              </w:rPr>
            </w:pPr>
            <w:r>
              <w:rPr>
                <w:rFonts w:hint="eastAsia"/>
                <w:color w:val="000000"/>
                <w:szCs w:val="21"/>
              </w:rPr>
              <w:t>生产企业</w:t>
            </w:r>
          </w:p>
        </w:tc>
        <w:tc>
          <w:tcPr>
            <w:tcW w:w="1379" w:type="dxa"/>
            <w:vAlign w:val="center"/>
          </w:tcPr>
          <w:p w:rsidR="0079502E" w:rsidRDefault="0079502E" w:rsidP="00DC7F6C">
            <w:pPr>
              <w:jc w:val="center"/>
              <w:rPr>
                <w:rFonts w:hint="eastAsia"/>
                <w:color w:val="000000"/>
                <w:szCs w:val="21"/>
              </w:rPr>
            </w:pPr>
            <w:r>
              <w:rPr>
                <w:rFonts w:hint="eastAsia"/>
                <w:color w:val="000000"/>
                <w:szCs w:val="21"/>
              </w:rPr>
              <w:t>药品规格</w:t>
            </w:r>
          </w:p>
        </w:tc>
        <w:tc>
          <w:tcPr>
            <w:tcW w:w="1380" w:type="dxa"/>
            <w:gridSpan w:val="2"/>
            <w:vAlign w:val="center"/>
          </w:tcPr>
          <w:p w:rsidR="0079502E" w:rsidRDefault="0079502E" w:rsidP="00DC7F6C">
            <w:pPr>
              <w:jc w:val="center"/>
              <w:rPr>
                <w:rFonts w:hint="eastAsia"/>
                <w:color w:val="000000"/>
                <w:szCs w:val="21"/>
              </w:rPr>
            </w:pPr>
            <w:r>
              <w:rPr>
                <w:rFonts w:hint="eastAsia"/>
                <w:color w:val="000000"/>
                <w:szCs w:val="21"/>
              </w:rPr>
              <w:t>生产批号</w:t>
            </w:r>
          </w:p>
        </w:tc>
        <w:tc>
          <w:tcPr>
            <w:tcW w:w="1380" w:type="dxa"/>
          </w:tcPr>
          <w:p w:rsidR="0079502E" w:rsidRDefault="0079502E" w:rsidP="00DC7F6C">
            <w:pPr>
              <w:rPr>
                <w:rFonts w:hint="eastAsia"/>
                <w:color w:val="000000"/>
                <w:szCs w:val="21"/>
              </w:rPr>
            </w:pPr>
            <w:r>
              <w:rPr>
                <w:rFonts w:hint="eastAsia"/>
                <w:color w:val="000000"/>
                <w:szCs w:val="21"/>
              </w:rPr>
              <w:t>批准文号</w:t>
            </w:r>
          </w:p>
        </w:tc>
      </w:tr>
      <w:tr w:rsidR="0079502E" w:rsidTr="00DC7F6C">
        <w:trPr>
          <w:trHeight w:val="381"/>
        </w:trPr>
        <w:tc>
          <w:tcPr>
            <w:tcW w:w="650" w:type="dxa"/>
            <w:vMerge/>
            <w:vAlign w:val="center"/>
          </w:tcPr>
          <w:p w:rsidR="0079502E" w:rsidRDefault="0079502E" w:rsidP="00DC7F6C">
            <w:pPr>
              <w:jc w:val="center"/>
              <w:rPr>
                <w:rFonts w:hint="eastAsia"/>
                <w:color w:val="000000"/>
                <w:szCs w:val="21"/>
              </w:rPr>
            </w:pPr>
          </w:p>
        </w:tc>
        <w:tc>
          <w:tcPr>
            <w:tcW w:w="1084" w:type="dxa"/>
            <w:vAlign w:val="center"/>
          </w:tcPr>
          <w:p w:rsidR="0079502E" w:rsidRDefault="0079502E" w:rsidP="00DC7F6C">
            <w:pPr>
              <w:jc w:val="center"/>
              <w:rPr>
                <w:rFonts w:hint="eastAsia"/>
                <w:color w:val="000000"/>
                <w:szCs w:val="21"/>
              </w:rPr>
            </w:pPr>
          </w:p>
        </w:tc>
        <w:tc>
          <w:tcPr>
            <w:tcW w:w="1265" w:type="dxa"/>
            <w:vAlign w:val="center"/>
          </w:tcPr>
          <w:p w:rsidR="0079502E" w:rsidRDefault="0079502E" w:rsidP="00DC7F6C">
            <w:pPr>
              <w:jc w:val="center"/>
              <w:rPr>
                <w:rFonts w:hint="eastAsia"/>
                <w:color w:val="000000"/>
                <w:szCs w:val="21"/>
              </w:rPr>
            </w:pPr>
          </w:p>
        </w:tc>
        <w:tc>
          <w:tcPr>
            <w:tcW w:w="2517" w:type="dxa"/>
            <w:gridSpan w:val="2"/>
            <w:vAlign w:val="center"/>
          </w:tcPr>
          <w:p w:rsidR="0079502E" w:rsidRDefault="0079502E" w:rsidP="00DC7F6C">
            <w:pPr>
              <w:jc w:val="center"/>
              <w:rPr>
                <w:rFonts w:hint="eastAsia"/>
                <w:color w:val="000000"/>
                <w:szCs w:val="21"/>
              </w:rPr>
            </w:pPr>
          </w:p>
        </w:tc>
        <w:tc>
          <w:tcPr>
            <w:tcW w:w="1379" w:type="dxa"/>
            <w:vAlign w:val="center"/>
          </w:tcPr>
          <w:p w:rsidR="0079502E" w:rsidRDefault="0079502E" w:rsidP="00DC7F6C">
            <w:pPr>
              <w:jc w:val="center"/>
              <w:rPr>
                <w:rFonts w:hint="eastAsia"/>
                <w:color w:val="000000"/>
                <w:szCs w:val="21"/>
              </w:rPr>
            </w:pPr>
          </w:p>
        </w:tc>
        <w:tc>
          <w:tcPr>
            <w:tcW w:w="1380" w:type="dxa"/>
            <w:gridSpan w:val="2"/>
            <w:vAlign w:val="center"/>
          </w:tcPr>
          <w:p w:rsidR="0079502E" w:rsidRDefault="0079502E" w:rsidP="00DC7F6C">
            <w:pPr>
              <w:jc w:val="center"/>
              <w:rPr>
                <w:rFonts w:hint="eastAsia"/>
                <w:color w:val="000000"/>
                <w:szCs w:val="21"/>
              </w:rPr>
            </w:pPr>
          </w:p>
        </w:tc>
        <w:tc>
          <w:tcPr>
            <w:tcW w:w="1380" w:type="dxa"/>
          </w:tcPr>
          <w:p w:rsidR="0079502E" w:rsidRDefault="0079502E" w:rsidP="00DC7F6C">
            <w:pPr>
              <w:rPr>
                <w:rFonts w:hint="eastAsia"/>
                <w:color w:val="000000"/>
                <w:szCs w:val="21"/>
              </w:rPr>
            </w:pPr>
          </w:p>
        </w:tc>
      </w:tr>
      <w:tr w:rsidR="0079502E" w:rsidTr="00DC7F6C">
        <w:trPr>
          <w:trHeight w:val="356"/>
        </w:trPr>
        <w:tc>
          <w:tcPr>
            <w:tcW w:w="650" w:type="dxa"/>
            <w:vMerge/>
            <w:vAlign w:val="center"/>
          </w:tcPr>
          <w:p w:rsidR="0079502E" w:rsidRDefault="0079502E" w:rsidP="00DC7F6C">
            <w:pPr>
              <w:jc w:val="center"/>
              <w:rPr>
                <w:rFonts w:hint="eastAsia"/>
                <w:color w:val="000000"/>
                <w:szCs w:val="21"/>
              </w:rPr>
            </w:pPr>
          </w:p>
        </w:tc>
        <w:tc>
          <w:tcPr>
            <w:tcW w:w="1084" w:type="dxa"/>
            <w:vAlign w:val="center"/>
          </w:tcPr>
          <w:p w:rsidR="0079502E" w:rsidRDefault="0079502E" w:rsidP="00DC7F6C">
            <w:pPr>
              <w:jc w:val="center"/>
              <w:rPr>
                <w:rFonts w:hint="eastAsia"/>
                <w:color w:val="000000"/>
                <w:szCs w:val="21"/>
              </w:rPr>
            </w:pPr>
          </w:p>
        </w:tc>
        <w:tc>
          <w:tcPr>
            <w:tcW w:w="1265" w:type="dxa"/>
            <w:vAlign w:val="center"/>
          </w:tcPr>
          <w:p w:rsidR="0079502E" w:rsidRDefault="0079502E" w:rsidP="00DC7F6C">
            <w:pPr>
              <w:jc w:val="center"/>
              <w:rPr>
                <w:rFonts w:hint="eastAsia"/>
                <w:color w:val="000000"/>
                <w:szCs w:val="21"/>
              </w:rPr>
            </w:pPr>
          </w:p>
        </w:tc>
        <w:tc>
          <w:tcPr>
            <w:tcW w:w="2517" w:type="dxa"/>
            <w:gridSpan w:val="2"/>
            <w:vAlign w:val="center"/>
          </w:tcPr>
          <w:p w:rsidR="0079502E" w:rsidRDefault="0079502E" w:rsidP="00DC7F6C">
            <w:pPr>
              <w:jc w:val="center"/>
              <w:rPr>
                <w:rFonts w:hint="eastAsia"/>
                <w:color w:val="000000"/>
                <w:szCs w:val="21"/>
              </w:rPr>
            </w:pPr>
          </w:p>
        </w:tc>
        <w:tc>
          <w:tcPr>
            <w:tcW w:w="1379" w:type="dxa"/>
            <w:vAlign w:val="center"/>
          </w:tcPr>
          <w:p w:rsidR="0079502E" w:rsidRDefault="0079502E" w:rsidP="00DC7F6C">
            <w:pPr>
              <w:jc w:val="center"/>
              <w:rPr>
                <w:rFonts w:hint="eastAsia"/>
                <w:color w:val="000000"/>
                <w:szCs w:val="21"/>
              </w:rPr>
            </w:pPr>
          </w:p>
        </w:tc>
        <w:tc>
          <w:tcPr>
            <w:tcW w:w="1380" w:type="dxa"/>
            <w:gridSpan w:val="2"/>
            <w:vAlign w:val="center"/>
          </w:tcPr>
          <w:p w:rsidR="0079502E" w:rsidRDefault="0079502E" w:rsidP="00DC7F6C">
            <w:pPr>
              <w:jc w:val="center"/>
              <w:rPr>
                <w:rFonts w:hint="eastAsia"/>
                <w:color w:val="000000"/>
                <w:szCs w:val="21"/>
              </w:rPr>
            </w:pPr>
          </w:p>
        </w:tc>
        <w:tc>
          <w:tcPr>
            <w:tcW w:w="1380" w:type="dxa"/>
          </w:tcPr>
          <w:p w:rsidR="0079502E" w:rsidRDefault="0079502E" w:rsidP="00DC7F6C">
            <w:pPr>
              <w:rPr>
                <w:rFonts w:hint="eastAsia"/>
                <w:color w:val="000000"/>
                <w:szCs w:val="21"/>
              </w:rPr>
            </w:pPr>
          </w:p>
        </w:tc>
      </w:tr>
      <w:tr w:rsidR="0079502E" w:rsidTr="00DC7F6C">
        <w:trPr>
          <w:trHeight w:val="356"/>
        </w:trPr>
        <w:tc>
          <w:tcPr>
            <w:tcW w:w="650" w:type="dxa"/>
            <w:vMerge/>
            <w:vAlign w:val="center"/>
          </w:tcPr>
          <w:p w:rsidR="0079502E" w:rsidRDefault="0079502E" w:rsidP="00DC7F6C">
            <w:pPr>
              <w:jc w:val="center"/>
              <w:rPr>
                <w:rFonts w:hint="eastAsia"/>
                <w:color w:val="000000"/>
                <w:szCs w:val="21"/>
              </w:rPr>
            </w:pPr>
          </w:p>
        </w:tc>
        <w:tc>
          <w:tcPr>
            <w:tcW w:w="1084" w:type="dxa"/>
            <w:vAlign w:val="center"/>
          </w:tcPr>
          <w:p w:rsidR="0079502E" w:rsidRDefault="0079502E" w:rsidP="00DC7F6C">
            <w:pPr>
              <w:jc w:val="center"/>
              <w:rPr>
                <w:rFonts w:hint="eastAsia"/>
                <w:color w:val="000000"/>
                <w:szCs w:val="21"/>
              </w:rPr>
            </w:pPr>
          </w:p>
        </w:tc>
        <w:tc>
          <w:tcPr>
            <w:tcW w:w="1265" w:type="dxa"/>
            <w:vAlign w:val="center"/>
          </w:tcPr>
          <w:p w:rsidR="0079502E" w:rsidRDefault="0079502E" w:rsidP="00DC7F6C">
            <w:pPr>
              <w:jc w:val="center"/>
              <w:rPr>
                <w:rFonts w:hint="eastAsia"/>
                <w:color w:val="000000"/>
                <w:szCs w:val="21"/>
              </w:rPr>
            </w:pPr>
          </w:p>
        </w:tc>
        <w:tc>
          <w:tcPr>
            <w:tcW w:w="2517" w:type="dxa"/>
            <w:gridSpan w:val="2"/>
            <w:vAlign w:val="center"/>
          </w:tcPr>
          <w:p w:rsidR="0079502E" w:rsidRDefault="0079502E" w:rsidP="00DC7F6C">
            <w:pPr>
              <w:jc w:val="center"/>
              <w:rPr>
                <w:rFonts w:hint="eastAsia"/>
                <w:color w:val="000000"/>
                <w:szCs w:val="21"/>
              </w:rPr>
            </w:pPr>
          </w:p>
        </w:tc>
        <w:tc>
          <w:tcPr>
            <w:tcW w:w="1379" w:type="dxa"/>
            <w:vAlign w:val="center"/>
          </w:tcPr>
          <w:p w:rsidR="0079502E" w:rsidRDefault="0079502E" w:rsidP="00DC7F6C">
            <w:pPr>
              <w:jc w:val="center"/>
              <w:rPr>
                <w:rFonts w:hint="eastAsia"/>
                <w:color w:val="000000"/>
                <w:szCs w:val="21"/>
              </w:rPr>
            </w:pPr>
          </w:p>
        </w:tc>
        <w:tc>
          <w:tcPr>
            <w:tcW w:w="1380" w:type="dxa"/>
            <w:gridSpan w:val="2"/>
            <w:vAlign w:val="center"/>
          </w:tcPr>
          <w:p w:rsidR="0079502E" w:rsidRDefault="0079502E" w:rsidP="00DC7F6C">
            <w:pPr>
              <w:jc w:val="center"/>
              <w:rPr>
                <w:rFonts w:hint="eastAsia"/>
                <w:color w:val="000000"/>
                <w:szCs w:val="21"/>
              </w:rPr>
            </w:pPr>
          </w:p>
        </w:tc>
        <w:tc>
          <w:tcPr>
            <w:tcW w:w="1380" w:type="dxa"/>
          </w:tcPr>
          <w:p w:rsidR="0079502E" w:rsidRDefault="0079502E" w:rsidP="00DC7F6C">
            <w:pPr>
              <w:rPr>
                <w:rFonts w:hint="eastAsia"/>
                <w:color w:val="000000"/>
                <w:szCs w:val="21"/>
              </w:rPr>
            </w:pPr>
          </w:p>
        </w:tc>
      </w:tr>
      <w:tr w:rsidR="0079502E" w:rsidTr="00DC7F6C">
        <w:trPr>
          <w:trHeight w:val="356"/>
        </w:trPr>
        <w:tc>
          <w:tcPr>
            <w:tcW w:w="650" w:type="dxa"/>
            <w:vMerge/>
            <w:vAlign w:val="center"/>
          </w:tcPr>
          <w:p w:rsidR="0079502E" w:rsidRDefault="0079502E" w:rsidP="00DC7F6C">
            <w:pPr>
              <w:jc w:val="center"/>
              <w:rPr>
                <w:rFonts w:hint="eastAsia"/>
                <w:color w:val="000000"/>
                <w:szCs w:val="21"/>
              </w:rPr>
            </w:pPr>
          </w:p>
        </w:tc>
        <w:tc>
          <w:tcPr>
            <w:tcW w:w="1084" w:type="dxa"/>
            <w:vAlign w:val="center"/>
          </w:tcPr>
          <w:p w:rsidR="0079502E" w:rsidRDefault="0079502E" w:rsidP="00DC7F6C">
            <w:pPr>
              <w:jc w:val="center"/>
              <w:rPr>
                <w:rFonts w:hint="eastAsia"/>
                <w:color w:val="000000"/>
                <w:szCs w:val="21"/>
              </w:rPr>
            </w:pPr>
          </w:p>
        </w:tc>
        <w:tc>
          <w:tcPr>
            <w:tcW w:w="1265" w:type="dxa"/>
            <w:vAlign w:val="center"/>
          </w:tcPr>
          <w:p w:rsidR="0079502E" w:rsidRDefault="0079502E" w:rsidP="00DC7F6C">
            <w:pPr>
              <w:jc w:val="center"/>
              <w:rPr>
                <w:rFonts w:hint="eastAsia"/>
                <w:color w:val="000000"/>
                <w:szCs w:val="21"/>
              </w:rPr>
            </w:pPr>
          </w:p>
        </w:tc>
        <w:tc>
          <w:tcPr>
            <w:tcW w:w="2517" w:type="dxa"/>
            <w:gridSpan w:val="2"/>
            <w:vAlign w:val="center"/>
          </w:tcPr>
          <w:p w:rsidR="0079502E" w:rsidRDefault="0079502E" w:rsidP="00DC7F6C">
            <w:pPr>
              <w:jc w:val="center"/>
              <w:rPr>
                <w:rFonts w:hint="eastAsia"/>
                <w:color w:val="000000"/>
                <w:szCs w:val="21"/>
              </w:rPr>
            </w:pPr>
          </w:p>
        </w:tc>
        <w:tc>
          <w:tcPr>
            <w:tcW w:w="1379" w:type="dxa"/>
            <w:vAlign w:val="center"/>
          </w:tcPr>
          <w:p w:rsidR="0079502E" w:rsidRDefault="0079502E" w:rsidP="00DC7F6C">
            <w:pPr>
              <w:jc w:val="center"/>
              <w:rPr>
                <w:rFonts w:hint="eastAsia"/>
                <w:color w:val="000000"/>
                <w:szCs w:val="21"/>
              </w:rPr>
            </w:pPr>
          </w:p>
        </w:tc>
        <w:tc>
          <w:tcPr>
            <w:tcW w:w="1380" w:type="dxa"/>
            <w:gridSpan w:val="2"/>
            <w:vAlign w:val="center"/>
          </w:tcPr>
          <w:p w:rsidR="0079502E" w:rsidRDefault="0079502E" w:rsidP="00DC7F6C">
            <w:pPr>
              <w:jc w:val="center"/>
              <w:rPr>
                <w:rFonts w:hint="eastAsia"/>
                <w:color w:val="000000"/>
                <w:szCs w:val="21"/>
              </w:rPr>
            </w:pPr>
          </w:p>
        </w:tc>
        <w:tc>
          <w:tcPr>
            <w:tcW w:w="1380" w:type="dxa"/>
          </w:tcPr>
          <w:p w:rsidR="0079502E" w:rsidRDefault="0079502E" w:rsidP="00DC7F6C">
            <w:pPr>
              <w:rPr>
                <w:rFonts w:hint="eastAsia"/>
                <w:color w:val="000000"/>
                <w:szCs w:val="21"/>
              </w:rPr>
            </w:pPr>
          </w:p>
        </w:tc>
      </w:tr>
      <w:tr w:rsidR="0079502E" w:rsidTr="00DC7F6C">
        <w:trPr>
          <w:trHeight w:val="381"/>
        </w:trPr>
        <w:tc>
          <w:tcPr>
            <w:tcW w:w="650" w:type="dxa"/>
            <w:vMerge/>
            <w:vAlign w:val="center"/>
          </w:tcPr>
          <w:p w:rsidR="0079502E" w:rsidRDefault="0079502E" w:rsidP="00DC7F6C">
            <w:pPr>
              <w:jc w:val="center"/>
              <w:rPr>
                <w:rFonts w:hint="eastAsia"/>
                <w:color w:val="000000"/>
                <w:szCs w:val="21"/>
              </w:rPr>
            </w:pPr>
          </w:p>
        </w:tc>
        <w:tc>
          <w:tcPr>
            <w:tcW w:w="1084" w:type="dxa"/>
            <w:vAlign w:val="center"/>
          </w:tcPr>
          <w:p w:rsidR="0079502E" w:rsidRDefault="0079502E" w:rsidP="00DC7F6C">
            <w:pPr>
              <w:jc w:val="center"/>
              <w:rPr>
                <w:rFonts w:hint="eastAsia"/>
                <w:color w:val="000000"/>
                <w:szCs w:val="21"/>
              </w:rPr>
            </w:pPr>
          </w:p>
        </w:tc>
        <w:tc>
          <w:tcPr>
            <w:tcW w:w="1265" w:type="dxa"/>
            <w:vAlign w:val="center"/>
          </w:tcPr>
          <w:p w:rsidR="0079502E" w:rsidRDefault="0079502E" w:rsidP="00DC7F6C">
            <w:pPr>
              <w:jc w:val="center"/>
              <w:rPr>
                <w:rFonts w:hint="eastAsia"/>
                <w:color w:val="000000"/>
                <w:szCs w:val="21"/>
              </w:rPr>
            </w:pPr>
          </w:p>
        </w:tc>
        <w:tc>
          <w:tcPr>
            <w:tcW w:w="2517" w:type="dxa"/>
            <w:gridSpan w:val="2"/>
            <w:vAlign w:val="center"/>
          </w:tcPr>
          <w:p w:rsidR="0079502E" w:rsidRDefault="0079502E" w:rsidP="00DC7F6C">
            <w:pPr>
              <w:jc w:val="center"/>
              <w:rPr>
                <w:rFonts w:hint="eastAsia"/>
                <w:color w:val="000000"/>
                <w:szCs w:val="21"/>
              </w:rPr>
            </w:pPr>
          </w:p>
        </w:tc>
        <w:tc>
          <w:tcPr>
            <w:tcW w:w="1379" w:type="dxa"/>
            <w:vAlign w:val="center"/>
          </w:tcPr>
          <w:p w:rsidR="0079502E" w:rsidRDefault="0079502E" w:rsidP="00DC7F6C">
            <w:pPr>
              <w:jc w:val="center"/>
              <w:rPr>
                <w:rFonts w:hint="eastAsia"/>
                <w:color w:val="000000"/>
                <w:szCs w:val="21"/>
              </w:rPr>
            </w:pPr>
          </w:p>
        </w:tc>
        <w:tc>
          <w:tcPr>
            <w:tcW w:w="1380" w:type="dxa"/>
            <w:gridSpan w:val="2"/>
            <w:vAlign w:val="center"/>
          </w:tcPr>
          <w:p w:rsidR="0079502E" w:rsidRDefault="0079502E" w:rsidP="00DC7F6C">
            <w:pPr>
              <w:jc w:val="center"/>
              <w:rPr>
                <w:rFonts w:hint="eastAsia"/>
                <w:color w:val="000000"/>
                <w:szCs w:val="21"/>
              </w:rPr>
            </w:pPr>
          </w:p>
        </w:tc>
        <w:tc>
          <w:tcPr>
            <w:tcW w:w="1380" w:type="dxa"/>
          </w:tcPr>
          <w:p w:rsidR="0079502E" w:rsidRDefault="0079502E" w:rsidP="00DC7F6C">
            <w:pPr>
              <w:rPr>
                <w:rFonts w:hint="eastAsia"/>
                <w:color w:val="000000"/>
                <w:szCs w:val="21"/>
              </w:rPr>
            </w:pPr>
          </w:p>
        </w:tc>
      </w:tr>
      <w:tr w:rsidR="0079502E" w:rsidTr="00DC7F6C">
        <w:trPr>
          <w:trHeight w:val="356"/>
        </w:trPr>
        <w:tc>
          <w:tcPr>
            <w:tcW w:w="650" w:type="dxa"/>
            <w:vMerge/>
            <w:vAlign w:val="center"/>
          </w:tcPr>
          <w:p w:rsidR="0079502E" w:rsidRDefault="0079502E" w:rsidP="00DC7F6C">
            <w:pPr>
              <w:jc w:val="center"/>
              <w:rPr>
                <w:rFonts w:hint="eastAsia"/>
                <w:color w:val="000000"/>
                <w:szCs w:val="21"/>
              </w:rPr>
            </w:pPr>
          </w:p>
        </w:tc>
        <w:tc>
          <w:tcPr>
            <w:tcW w:w="1084" w:type="dxa"/>
            <w:vAlign w:val="center"/>
          </w:tcPr>
          <w:p w:rsidR="0079502E" w:rsidRDefault="0079502E" w:rsidP="00DC7F6C">
            <w:pPr>
              <w:jc w:val="center"/>
              <w:rPr>
                <w:rFonts w:hint="eastAsia"/>
                <w:color w:val="000000"/>
                <w:szCs w:val="21"/>
              </w:rPr>
            </w:pPr>
          </w:p>
        </w:tc>
        <w:tc>
          <w:tcPr>
            <w:tcW w:w="1265" w:type="dxa"/>
            <w:vAlign w:val="center"/>
          </w:tcPr>
          <w:p w:rsidR="0079502E" w:rsidRDefault="0079502E" w:rsidP="00DC7F6C">
            <w:pPr>
              <w:jc w:val="center"/>
              <w:rPr>
                <w:rFonts w:hint="eastAsia"/>
                <w:color w:val="000000"/>
                <w:szCs w:val="21"/>
              </w:rPr>
            </w:pPr>
          </w:p>
        </w:tc>
        <w:tc>
          <w:tcPr>
            <w:tcW w:w="2517" w:type="dxa"/>
            <w:gridSpan w:val="2"/>
            <w:vAlign w:val="center"/>
          </w:tcPr>
          <w:p w:rsidR="0079502E" w:rsidRDefault="0079502E" w:rsidP="00DC7F6C">
            <w:pPr>
              <w:jc w:val="center"/>
              <w:rPr>
                <w:rFonts w:hint="eastAsia"/>
                <w:color w:val="000000"/>
                <w:szCs w:val="21"/>
              </w:rPr>
            </w:pPr>
          </w:p>
        </w:tc>
        <w:tc>
          <w:tcPr>
            <w:tcW w:w="1379" w:type="dxa"/>
            <w:vAlign w:val="center"/>
          </w:tcPr>
          <w:p w:rsidR="0079502E" w:rsidRDefault="0079502E" w:rsidP="00DC7F6C">
            <w:pPr>
              <w:jc w:val="center"/>
              <w:rPr>
                <w:rFonts w:hint="eastAsia"/>
                <w:color w:val="000000"/>
                <w:szCs w:val="21"/>
              </w:rPr>
            </w:pPr>
          </w:p>
        </w:tc>
        <w:tc>
          <w:tcPr>
            <w:tcW w:w="1380" w:type="dxa"/>
            <w:gridSpan w:val="2"/>
            <w:vAlign w:val="center"/>
          </w:tcPr>
          <w:p w:rsidR="0079502E" w:rsidRDefault="0079502E" w:rsidP="00DC7F6C">
            <w:pPr>
              <w:jc w:val="center"/>
              <w:rPr>
                <w:rFonts w:hint="eastAsia"/>
                <w:color w:val="000000"/>
                <w:szCs w:val="21"/>
              </w:rPr>
            </w:pPr>
          </w:p>
        </w:tc>
        <w:tc>
          <w:tcPr>
            <w:tcW w:w="1380" w:type="dxa"/>
          </w:tcPr>
          <w:p w:rsidR="0079502E" w:rsidRDefault="0079502E" w:rsidP="00DC7F6C">
            <w:pPr>
              <w:rPr>
                <w:rFonts w:hint="eastAsia"/>
                <w:color w:val="000000"/>
                <w:szCs w:val="21"/>
              </w:rPr>
            </w:pPr>
          </w:p>
        </w:tc>
      </w:tr>
      <w:tr w:rsidR="0079502E" w:rsidTr="00DC7F6C">
        <w:trPr>
          <w:trHeight w:val="381"/>
        </w:trPr>
        <w:tc>
          <w:tcPr>
            <w:tcW w:w="650" w:type="dxa"/>
            <w:vMerge w:val="restart"/>
            <w:vAlign w:val="center"/>
          </w:tcPr>
          <w:p w:rsidR="0079502E" w:rsidRDefault="0079502E" w:rsidP="00DC7F6C">
            <w:pPr>
              <w:jc w:val="center"/>
              <w:rPr>
                <w:rFonts w:hint="eastAsia"/>
                <w:color w:val="000000"/>
                <w:szCs w:val="21"/>
              </w:rPr>
            </w:pPr>
            <w:r>
              <w:rPr>
                <w:rFonts w:hint="eastAsia"/>
                <w:color w:val="000000"/>
                <w:szCs w:val="21"/>
              </w:rPr>
              <w:t>器械</w:t>
            </w:r>
          </w:p>
        </w:tc>
        <w:tc>
          <w:tcPr>
            <w:tcW w:w="2349" w:type="dxa"/>
            <w:gridSpan w:val="2"/>
            <w:vAlign w:val="center"/>
          </w:tcPr>
          <w:p w:rsidR="0079502E" w:rsidRDefault="0079502E" w:rsidP="00DC7F6C">
            <w:pPr>
              <w:jc w:val="center"/>
              <w:rPr>
                <w:rFonts w:hint="eastAsia"/>
                <w:color w:val="000000"/>
                <w:szCs w:val="21"/>
              </w:rPr>
            </w:pPr>
          </w:p>
        </w:tc>
        <w:tc>
          <w:tcPr>
            <w:tcW w:w="2517" w:type="dxa"/>
            <w:gridSpan w:val="2"/>
            <w:vAlign w:val="center"/>
          </w:tcPr>
          <w:p w:rsidR="0079502E" w:rsidRDefault="0079502E" w:rsidP="00DC7F6C">
            <w:pPr>
              <w:jc w:val="center"/>
              <w:rPr>
                <w:rFonts w:hint="eastAsia"/>
                <w:color w:val="000000"/>
                <w:szCs w:val="21"/>
              </w:rPr>
            </w:pPr>
            <w:r>
              <w:rPr>
                <w:rFonts w:hint="eastAsia"/>
                <w:color w:val="000000"/>
                <w:szCs w:val="21"/>
              </w:rPr>
              <w:t>生产企业</w:t>
            </w:r>
          </w:p>
        </w:tc>
        <w:tc>
          <w:tcPr>
            <w:tcW w:w="1991" w:type="dxa"/>
            <w:gridSpan w:val="2"/>
            <w:vAlign w:val="center"/>
          </w:tcPr>
          <w:p w:rsidR="0079502E" w:rsidRDefault="0079502E" w:rsidP="00DC7F6C">
            <w:pPr>
              <w:jc w:val="center"/>
              <w:rPr>
                <w:rFonts w:hint="eastAsia"/>
                <w:color w:val="000000"/>
                <w:szCs w:val="21"/>
              </w:rPr>
            </w:pPr>
            <w:r>
              <w:rPr>
                <w:rFonts w:hint="eastAsia"/>
                <w:color w:val="000000"/>
                <w:szCs w:val="21"/>
              </w:rPr>
              <w:t>生产批号</w:t>
            </w:r>
          </w:p>
        </w:tc>
        <w:tc>
          <w:tcPr>
            <w:tcW w:w="2148" w:type="dxa"/>
            <w:gridSpan w:val="2"/>
          </w:tcPr>
          <w:p w:rsidR="0079502E" w:rsidRDefault="0079502E" w:rsidP="00DC7F6C">
            <w:pPr>
              <w:rPr>
                <w:rFonts w:hint="eastAsia"/>
                <w:color w:val="000000"/>
                <w:szCs w:val="21"/>
              </w:rPr>
            </w:pPr>
            <w:r>
              <w:rPr>
                <w:rFonts w:hint="eastAsia"/>
                <w:color w:val="000000"/>
                <w:szCs w:val="21"/>
              </w:rPr>
              <w:t>注册号</w:t>
            </w:r>
          </w:p>
        </w:tc>
      </w:tr>
      <w:tr w:rsidR="0079502E" w:rsidTr="00DC7F6C">
        <w:trPr>
          <w:trHeight w:val="381"/>
        </w:trPr>
        <w:tc>
          <w:tcPr>
            <w:tcW w:w="650" w:type="dxa"/>
            <w:vMerge/>
            <w:vAlign w:val="center"/>
          </w:tcPr>
          <w:p w:rsidR="0079502E" w:rsidRDefault="0079502E" w:rsidP="00DC7F6C">
            <w:pPr>
              <w:jc w:val="center"/>
              <w:rPr>
                <w:rFonts w:hint="eastAsia"/>
                <w:color w:val="000000"/>
                <w:szCs w:val="21"/>
              </w:rPr>
            </w:pPr>
          </w:p>
        </w:tc>
        <w:tc>
          <w:tcPr>
            <w:tcW w:w="2349" w:type="dxa"/>
            <w:gridSpan w:val="2"/>
            <w:vAlign w:val="center"/>
          </w:tcPr>
          <w:p w:rsidR="0079502E" w:rsidRDefault="0079502E" w:rsidP="00DC7F6C">
            <w:pPr>
              <w:jc w:val="center"/>
              <w:rPr>
                <w:rFonts w:hint="eastAsia"/>
                <w:color w:val="000000"/>
                <w:szCs w:val="21"/>
              </w:rPr>
            </w:pPr>
          </w:p>
        </w:tc>
        <w:tc>
          <w:tcPr>
            <w:tcW w:w="2517" w:type="dxa"/>
            <w:gridSpan w:val="2"/>
            <w:vAlign w:val="center"/>
          </w:tcPr>
          <w:p w:rsidR="0079502E" w:rsidRDefault="0079502E" w:rsidP="00DC7F6C">
            <w:pPr>
              <w:jc w:val="center"/>
              <w:rPr>
                <w:rFonts w:hint="eastAsia"/>
                <w:color w:val="000000"/>
                <w:szCs w:val="21"/>
              </w:rPr>
            </w:pPr>
          </w:p>
        </w:tc>
        <w:tc>
          <w:tcPr>
            <w:tcW w:w="1991" w:type="dxa"/>
            <w:gridSpan w:val="2"/>
            <w:vAlign w:val="center"/>
          </w:tcPr>
          <w:p w:rsidR="0079502E" w:rsidRDefault="0079502E" w:rsidP="00DC7F6C">
            <w:pPr>
              <w:jc w:val="center"/>
              <w:rPr>
                <w:rFonts w:hint="eastAsia"/>
                <w:color w:val="000000"/>
                <w:szCs w:val="21"/>
              </w:rPr>
            </w:pPr>
          </w:p>
        </w:tc>
        <w:tc>
          <w:tcPr>
            <w:tcW w:w="2148" w:type="dxa"/>
            <w:gridSpan w:val="2"/>
          </w:tcPr>
          <w:p w:rsidR="0079502E" w:rsidRDefault="0079502E" w:rsidP="00DC7F6C">
            <w:pPr>
              <w:rPr>
                <w:rFonts w:hint="eastAsia"/>
                <w:color w:val="000000"/>
                <w:szCs w:val="21"/>
              </w:rPr>
            </w:pPr>
          </w:p>
        </w:tc>
      </w:tr>
      <w:tr w:rsidR="0079502E" w:rsidTr="00DC7F6C">
        <w:trPr>
          <w:trHeight w:val="356"/>
        </w:trPr>
        <w:tc>
          <w:tcPr>
            <w:tcW w:w="650" w:type="dxa"/>
            <w:vMerge/>
            <w:vAlign w:val="center"/>
          </w:tcPr>
          <w:p w:rsidR="0079502E" w:rsidRDefault="0079502E" w:rsidP="00DC7F6C">
            <w:pPr>
              <w:jc w:val="center"/>
              <w:rPr>
                <w:rFonts w:hint="eastAsia"/>
                <w:color w:val="000000"/>
                <w:szCs w:val="21"/>
              </w:rPr>
            </w:pPr>
          </w:p>
        </w:tc>
        <w:tc>
          <w:tcPr>
            <w:tcW w:w="2349" w:type="dxa"/>
            <w:gridSpan w:val="2"/>
            <w:vAlign w:val="center"/>
          </w:tcPr>
          <w:p w:rsidR="0079502E" w:rsidRDefault="0079502E" w:rsidP="00DC7F6C">
            <w:pPr>
              <w:jc w:val="center"/>
              <w:rPr>
                <w:rFonts w:hint="eastAsia"/>
                <w:color w:val="000000"/>
                <w:szCs w:val="21"/>
              </w:rPr>
            </w:pPr>
          </w:p>
        </w:tc>
        <w:tc>
          <w:tcPr>
            <w:tcW w:w="2517" w:type="dxa"/>
            <w:gridSpan w:val="2"/>
            <w:vAlign w:val="center"/>
          </w:tcPr>
          <w:p w:rsidR="0079502E" w:rsidRDefault="0079502E" w:rsidP="00DC7F6C">
            <w:pPr>
              <w:jc w:val="center"/>
              <w:rPr>
                <w:rFonts w:hint="eastAsia"/>
                <w:color w:val="000000"/>
                <w:szCs w:val="21"/>
              </w:rPr>
            </w:pPr>
          </w:p>
        </w:tc>
        <w:tc>
          <w:tcPr>
            <w:tcW w:w="1991" w:type="dxa"/>
            <w:gridSpan w:val="2"/>
            <w:vAlign w:val="center"/>
          </w:tcPr>
          <w:p w:rsidR="0079502E" w:rsidRDefault="0079502E" w:rsidP="00DC7F6C">
            <w:pPr>
              <w:jc w:val="center"/>
              <w:rPr>
                <w:rFonts w:hint="eastAsia"/>
                <w:color w:val="000000"/>
                <w:szCs w:val="21"/>
              </w:rPr>
            </w:pPr>
          </w:p>
        </w:tc>
        <w:tc>
          <w:tcPr>
            <w:tcW w:w="2148" w:type="dxa"/>
            <w:gridSpan w:val="2"/>
          </w:tcPr>
          <w:p w:rsidR="0079502E" w:rsidRDefault="0079502E" w:rsidP="00DC7F6C">
            <w:pPr>
              <w:rPr>
                <w:rFonts w:hint="eastAsia"/>
                <w:color w:val="000000"/>
                <w:szCs w:val="21"/>
              </w:rPr>
            </w:pPr>
          </w:p>
        </w:tc>
      </w:tr>
      <w:tr w:rsidR="0079502E" w:rsidTr="00DC7F6C">
        <w:trPr>
          <w:trHeight w:val="671"/>
        </w:trPr>
        <w:tc>
          <w:tcPr>
            <w:tcW w:w="650" w:type="dxa"/>
            <w:vMerge/>
            <w:vAlign w:val="center"/>
          </w:tcPr>
          <w:p w:rsidR="0079502E" w:rsidRDefault="0079502E" w:rsidP="00DC7F6C">
            <w:pPr>
              <w:jc w:val="center"/>
              <w:rPr>
                <w:rFonts w:hint="eastAsia"/>
                <w:color w:val="000000"/>
                <w:szCs w:val="21"/>
              </w:rPr>
            </w:pPr>
          </w:p>
        </w:tc>
        <w:tc>
          <w:tcPr>
            <w:tcW w:w="9005" w:type="dxa"/>
            <w:gridSpan w:val="8"/>
            <w:vAlign w:val="center"/>
          </w:tcPr>
          <w:p w:rsidR="0079502E" w:rsidRDefault="0079502E" w:rsidP="00DC7F6C">
            <w:pPr>
              <w:jc w:val="center"/>
              <w:rPr>
                <w:rFonts w:hint="eastAsia"/>
                <w:color w:val="000000"/>
                <w:szCs w:val="21"/>
              </w:rPr>
            </w:pPr>
            <w:r>
              <w:rPr>
                <w:rFonts w:hint="eastAsia"/>
                <w:color w:val="000000"/>
                <w:szCs w:val="21"/>
              </w:rPr>
              <w:t>本栏所指器械是与怀疑药品同时使用且可能与群体不良事件相关的注射器、输液器等医疗器械</w:t>
            </w:r>
          </w:p>
        </w:tc>
      </w:tr>
      <w:tr w:rsidR="0079502E" w:rsidTr="00DC7F6C">
        <w:trPr>
          <w:trHeight w:val="1186"/>
        </w:trPr>
        <w:tc>
          <w:tcPr>
            <w:tcW w:w="9655" w:type="dxa"/>
            <w:gridSpan w:val="9"/>
          </w:tcPr>
          <w:p w:rsidR="0079502E" w:rsidRDefault="0079502E" w:rsidP="00DC7F6C">
            <w:pPr>
              <w:rPr>
                <w:rFonts w:hint="eastAsia"/>
                <w:color w:val="000000"/>
                <w:szCs w:val="21"/>
              </w:rPr>
            </w:pPr>
            <w:r>
              <w:rPr>
                <w:rFonts w:hint="eastAsia"/>
                <w:color w:val="000000"/>
                <w:szCs w:val="21"/>
              </w:rPr>
              <w:t>不良事件表现：</w:t>
            </w:r>
          </w:p>
          <w:p w:rsidR="0079502E" w:rsidRDefault="0079502E" w:rsidP="00DC7F6C">
            <w:pPr>
              <w:rPr>
                <w:rFonts w:hint="eastAsia"/>
                <w:color w:val="000000"/>
                <w:szCs w:val="21"/>
              </w:rPr>
            </w:pPr>
          </w:p>
          <w:p w:rsidR="0079502E" w:rsidRDefault="0079502E" w:rsidP="00DC7F6C">
            <w:pPr>
              <w:rPr>
                <w:rFonts w:hint="eastAsia"/>
                <w:color w:val="000000"/>
                <w:szCs w:val="21"/>
              </w:rPr>
            </w:pPr>
          </w:p>
          <w:p w:rsidR="0079502E" w:rsidRDefault="0079502E" w:rsidP="00DC7F6C">
            <w:pPr>
              <w:rPr>
                <w:rFonts w:hint="eastAsia"/>
                <w:color w:val="000000"/>
                <w:szCs w:val="21"/>
              </w:rPr>
            </w:pPr>
          </w:p>
          <w:p w:rsidR="0079502E" w:rsidRDefault="0079502E" w:rsidP="00DC7F6C">
            <w:pPr>
              <w:rPr>
                <w:rFonts w:hint="eastAsia"/>
                <w:color w:val="000000"/>
                <w:szCs w:val="21"/>
              </w:rPr>
            </w:pPr>
          </w:p>
          <w:p w:rsidR="0079502E" w:rsidRDefault="0079502E" w:rsidP="00DC7F6C">
            <w:pPr>
              <w:rPr>
                <w:rFonts w:hint="eastAsia"/>
                <w:color w:val="000000"/>
                <w:szCs w:val="21"/>
              </w:rPr>
            </w:pPr>
          </w:p>
        </w:tc>
      </w:tr>
      <w:tr w:rsidR="0079502E" w:rsidTr="00DC7F6C">
        <w:trPr>
          <w:trHeight w:val="2228"/>
        </w:trPr>
        <w:tc>
          <w:tcPr>
            <w:tcW w:w="9655" w:type="dxa"/>
            <w:gridSpan w:val="9"/>
          </w:tcPr>
          <w:p w:rsidR="0079502E" w:rsidRDefault="0079502E" w:rsidP="00DC7F6C">
            <w:pPr>
              <w:rPr>
                <w:rFonts w:hint="eastAsia"/>
                <w:color w:val="000000"/>
                <w:szCs w:val="21"/>
              </w:rPr>
            </w:pPr>
            <w:r>
              <w:rPr>
                <w:rFonts w:hint="eastAsia"/>
                <w:color w:val="000000"/>
                <w:szCs w:val="21"/>
              </w:rPr>
              <w:t>群体不良事件过程描述及处理情况（可附页）：</w:t>
            </w:r>
          </w:p>
        </w:tc>
      </w:tr>
      <w:tr w:rsidR="0079502E" w:rsidTr="00DC7F6C">
        <w:trPr>
          <w:trHeight w:val="381"/>
        </w:trPr>
        <w:tc>
          <w:tcPr>
            <w:tcW w:w="1734" w:type="dxa"/>
            <w:gridSpan w:val="2"/>
            <w:vAlign w:val="center"/>
          </w:tcPr>
          <w:p w:rsidR="0079502E" w:rsidRDefault="0079502E" w:rsidP="00DC7F6C">
            <w:pPr>
              <w:rPr>
                <w:rFonts w:hint="eastAsia"/>
                <w:color w:val="000000"/>
                <w:szCs w:val="21"/>
              </w:rPr>
            </w:pPr>
            <w:r>
              <w:rPr>
                <w:rFonts w:hint="eastAsia"/>
                <w:color w:val="000000"/>
                <w:szCs w:val="21"/>
              </w:rPr>
              <w:t>报告单位意见</w:t>
            </w:r>
          </w:p>
        </w:tc>
        <w:tc>
          <w:tcPr>
            <w:tcW w:w="7921" w:type="dxa"/>
            <w:gridSpan w:val="7"/>
            <w:vAlign w:val="center"/>
          </w:tcPr>
          <w:p w:rsidR="0079502E" w:rsidRDefault="0079502E" w:rsidP="00DC7F6C">
            <w:pPr>
              <w:rPr>
                <w:rFonts w:hint="eastAsia"/>
                <w:color w:val="000000"/>
                <w:szCs w:val="21"/>
              </w:rPr>
            </w:pPr>
          </w:p>
        </w:tc>
      </w:tr>
      <w:tr w:rsidR="0079502E" w:rsidTr="00DC7F6C">
        <w:trPr>
          <w:trHeight w:val="381"/>
        </w:trPr>
        <w:tc>
          <w:tcPr>
            <w:tcW w:w="1734" w:type="dxa"/>
            <w:gridSpan w:val="2"/>
            <w:vAlign w:val="center"/>
          </w:tcPr>
          <w:p w:rsidR="0079502E" w:rsidRDefault="0079502E" w:rsidP="00DC7F6C">
            <w:pPr>
              <w:rPr>
                <w:rFonts w:hint="eastAsia"/>
                <w:color w:val="000000"/>
                <w:szCs w:val="21"/>
              </w:rPr>
            </w:pPr>
            <w:r>
              <w:rPr>
                <w:rFonts w:hint="eastAsia"/>
                <w:color w:val="000000"/>
                <w:szCs w:val="21"/>
              </w:rPr>
              <w:t>报告人信息</w:t>
            </w:r>
          </w:p>
        </w:tc>
        <w:tc>
          <w:tcPr>
            <w:tcW w:w="7921" w:type="dxa"/>
            <w:gridSpan w:val="7"/>
            <w:vAlign w:val="center"/>
          </w:tcPr>
          <w:p w:rsidR="0079502E" w:rsidRDefault="0079502E" w:rsidP="00DC7F6C">
            <w:pPr>
              <w:rPr>
                <w:rFonts w:hint="eastAsia"/>
                <w:color w:val="000000"/>
                <w:szCs w:val="21"/>
              </w:rPr>
            </w:pPr>
            <w:r>
              <w:rPr>
                <w:rFonts w:hint="eastAsia"/>
                <w:color w:val="000000"/>
                <w:szCs w:val="21"/>
              </w:rPr>
              <w:t>电话：</w:t>
            </w:r>
            <w:r>
              <w:rPr>
                <w:rFonts w:hint="eastAsia"/>
                <w:color w:val="000000"/>
                <w:szCs w:val="21"/>
              </w:rPr>
              <w:t xml:space="preserve">            </w:t>
            </w:r>
            <w:r>
              <w:rPr>
                <w:rFonts w:hint="eastAsia"/>
                <w:color w:val="000000"/>
                <w:szCs w:val="21"/>
              </w:rPr>
              <w:t>电子邮箱：</w:t>
            </w:r>
            <w:r>
              <w:rPr>
                <w:rFonts w:hint="eastAsia"/>
                <w:color w:val="000000"/>
                <w:szCs w:val="21"/>
              </w:rPr>
              <w:t xml:space="preserve">        </w:t>
            </w:r>
            <w:r>
              <w:rPr>
                <w:rFonts w:hint="eastAsia"/>
                <w:color w:val="000000"/>
                <w:szCs w:val="21"/>
              </w:rPr>
              <w:t>签名：</w:t>
            </w:r>
          </w:p>
        </w:tc>
      </w:tr>
      <w:tr w:rsidR="0079502E" w:rsidTr="00DC7F6C">
        <w:trPr>
          <w:trHeight w:val="381"/>
        </w:trPr>
        <w:tc>
          <w:tcPr>
            <w:tcW w:w="1734" w:type="dxa"/>
            <w:gridSpan w:val="2"/>
            <w:vAlign w:val="center"/>
          </w:tcPr>
          <w:p w:rsidR="0079502E" w:rsidRDefault="0079502E" w:rsidP="00DC7F6C">
            <w:pPr>
              <w:rPr>
                <w:rFonts w:hint="eastAsia"/>
                <w:color w:val="000000"/>
                <w:szCs w:val="21"/>
              </w:rPr>
            </w:pPr>
            <w:r>
              <w:rPr>
                <w:rFonts w:hint="eastAsia"/>
                <w:color w:val="000000"/>
                <w:szCs w:val="21"/>
              </w:rPr>
              <w:t>报告单位信息</w:t>
            </w:r>
          </w:p>
        </w:tc>
        <w:tc>
          <w:tcPr>
            <w:tcW w:w="7921" w:type="dxa"/>
            <w:gridSpan w:val="7"/>
            <w:vAlign w:val="center"/>
          </w:tcPr>
          <w:p w:rsidR="0079502E" w:rsidRDefault="0079502E" w:rsidP="00DC7F6C">
            <w:pPr>
              <w:rPr>
                <w:rFonts w:hint="eastAsia"/>
                <w:color w:val="000000"/>
                <w:szCs w:val="21"/>
              </w:rPr>
            </w:pPr>
            <w:r>
              <w:rPr>
                <w:rFonts w:hint="eastAsia"/>
                <w:color w:val="000000"/>
                <w:szCs w:val="21"/>
              </w:rPr>
              <w:t>报告单位：</w:t>
            </w:r>
            <w:r>
              <w:rPr>
                <w:rFonts w:hint="eastAsia"/>
                <w:color w:val="000000"/>
                <w:szCs w:val="21"/>
              </w:rPr>
              <w:t xml:space="preserve">          </w:t>
            </w:r>
            <w:r>
              <w:rPr>
                <w:rFonts w:hint="eastAsia"/>
                <w:color w:val="000000"/>
                <w:szCs w:val="21"/>
              </w:rPr>
              <w:t>联系人：</w:t>
            </w:r>
            <w:r>
              <w:rPr>
                <w:rFonts w:hint="eastAsia"/>
                <w:color w:val="000000"/>
                <w:szCs w:val="21"/>
              </w:rPr>
              <w:t xml:space="preserve">        </w:t>
            </w:r>
            <w:r>
              <w:rPr>
                <w:rFonts w:hint="eastAsia"/>
                <w:color w:val="000000"/>
                <w:szCs w:val="21"/>
              </w:rPr>
              <w:t>电话：</w:t>
            </w:r>
          </w:p>
        </w:tc>
      </w:tr>
    </w:tbl>
    <w:p w:rsidR="0079502E" w:rsidRDefault="0079502E" w:rsidP="0079502E">
      <w:pPr>
        <w:rPr>
          <w:rFonts w:hint="eastAsia"/>
          <w:color w:val="000000"/>
          <w:szCs w:val="21"/>
        </w:rPr>
      </w:pPr>
      <w:r>
        <w:rPr>
          <w:rFonts w:hint="eastAsia"/>
          <w:color w:val="000000"/>
          <w:szCs w:val="21"/>
        </w:rPr>
        <w:t>报告日期：</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79502E" w:rsidRDefault="0079502E" w:rsidP="0079502E">
      <w:pPr>
        <w:jc w:val="center"/>
        <w:rPr>
          <w:rFonts w:hint="eastAsia"/>
          <w:b/>
          <w:color w:val="000000"/>
          <w:sz w:val="32"/>
          <w:szCs w:val="32"/>
        </w:rPr>
      </w:pPr>
    </w:p>
    <w:p w:rsidR="0079502E" w:rsidRDefault="0079502E" w:rsidP="0079502E">
      <w:pPr>
        <w:pStyle w:val="2"/>
        <w:jc w:val="center"/>
        <w:rPr>
          <w:rFonts w:ascii="华文仿宋" w:eastAsia="华文仿宋" w:hAnsi="华文仿宋" w:cs="华文仿宋" w:hint="eastAsia"/>
          <w:sz w:val="28"/>
          <w:szCs w:val="28"/>
        </w:rPr>
      </w:pPr>
      <w:bookmarkStart w:id="3" w:name="_Toc345403618"/>
      <w:r>
        <w:rPr>
          <w:rFonts w:ascii="华文仿宋" w:eastAsia="华文仿宋" w:hAnsi="华文仿宋" w:cs="华文仿宋" w:hint="eastAsia"/>
          <w:sz w:val="28"/>
          <w:szCs w:val="28"/>
        </w:rPr>
        <w:t>药害事件调查、处理制度</w:t>
      </w:r>
      <w:bookmarkEnd w:id="3"/>
    </w:p>
    <w:p w:rsidR="0079502E" w:rsidRDefault="0079502E" w:rsidP="0079502E">
      <w:pPr>
        <w:ind w:firstLineChars="200" w:firstLine="420"/>
        <w:rPr>
          <w:rFonts w:hint="eastAsia"/>
          <w:color w:val="000000"/>
          <w:szCs w:val="21"/>
        </w:rPr>
      </w:pPr>
      <w:r>
        <w:rPr>
          <w:rFonts w:hint="eastAsia"/>
          <w:color w:val="000000"/>
          <w:szCs w:val="21"/>
        </w:rPr>
        <w:t>为有效预防、及时控制和正确处置各类药害事件，保障公众的身体健康和生命安全，根据《中华人民共和国药品管理》、《医疗机构事管理规定》等相关法规，制定本制度。</w:t>
      </w:r>
    </w:p>
    <w:p w:rsidR="0079502E" w:rsidRDefault="0079502E" w:rsidP="0079502E">
      <w:pPr>
        <w:numPr>
          <w:ilvl w:val="0"/>
          <w:numId w:val="1"/>
        </w:numPr>
        <w:ind w:left="0" w:firstLineChars="200" w:firstLine="420"/>
        <w:rPr>
          <w:rFonts w:hint="eastAsia"/>
          <w:color w:val="000000"/>
          <w:szCs w:val="21"/>
        </w:rPr>
      </w:pPr>
      <w:r>
        <w:rPr>
          <w:rFonts w:hint="eastAsia"/>
          <w:color w:val="000000"/>
          <w:szCs w:val="21"/>
        </w:rPr>
        <w:t>组织机构</w:t>
      </w:r>
    </w:p>
    <w:p w:rsidR="0079502E" w:rsidRDefault="0079502E" w:rsidP="0079502E">
      <w:pPr>
        <w:numPr>
          <w:ilvl w:val="0"/>
          <w:numId w:val="2"/>
        </w:numPr>
        <w:ind w:left="0" w:firstLineChars="200" w:firstLine="420"/>
        <w:rPr>
          <w:rFonts w:hint="eastAsia"/>
          <w:color w:val="000000"/>
          <w:szCs w:val="21"/>
        </w:rPr>
      </w:pPr>
      <w:r>
        <w:rPr>
          <w:rFonts w:hint="eastAsia"/>
          <w:color w:val="000000"/>
          <w:szCs w:val="21"/>
        </w:rPr>
        <w:t>领导小组</w:t>
      </w:r>
    </w:p>
    <w:p w:rsidR="0079502E" w:rsidRDefault="0079502E" w:rsidP="0079502E">
      <w:pPr>
        <w:ind w:firstLineChars="200" w:firstLine="420"/>
        <w:rPr>
          <w:rFonts w:hint="eastAsia"/>
          <w:color w:val="000000"/>
          <w:szCs w:val="21"/>
          <w:highlight w:val="yellow"/>
        </w:rPr>
      </w:pPr>
      <w:r>
        <w:rPr>
          <w:rFonts w:hint="eastAsia"/>
          <w:color w:val="000000"/>
          <w:szCs w:val="21"/>
          <w:highlight w:val="yellow"/>
        </w:rPr>
        <w:t>组长：秦国政</w:t>
      </w:r>
    </w:p>
    <w:p w:rsidR="0079502E" w:rsidRDefault="0079502E" w:rsidP="0079502E">
      <w:pPr>
        <w:ind w:firstLineChars="200" w:firstLine="420"/>
        <w:rPr>
          <w:rFonts w:hint="eastAsia"/>
          <w:color w:val="000000"/>
          <w:szCs w:val="21"/>
          <w:highlight w:val="yellow"/>
        </w:rPr>
      </w:pPr>
      <w:r>
        <w:rPr>
          <w:rFonts w:hint="eastAsia"/>
          <w:color w:val="000000"/>
          <w:szCs w:val="21"/>
          <w:highlight w:val="yellow"/>
        </w:rPr>
        <w:lastRenderedPageBreak/>
        <w:t>副组长：彭江云</w:t>
      </w:r>
    </w:p>
    <w:p w:rsidR="0079502E" w:rsidRDefault="0079502E" w:rsidP="0079502E">
      <w:pPr>
        <w:ind w:firstLineChars="200" w:firstLine="420"/>
        <w:rPr>
          <w:rFonts w:hint="eastAsia"/>
          <w:color w:val="000000"/>
          <w:szCs w:val="21"/>
          <w:highlight w:val="yellow"/>
        </w:rPr>
      </w:pPr>
      <w:r>
        <w:rPr>
          <w:rFonts w:hint="eastAsia"/>
          <w:color w:val="000000"/>
          <w:szCs w:val="21"/>
          <w:highlight w:val="yellow"/>
        </w:rPr>
        <w:t>成员：夏杰</w:t>
      </w:r>
      <w:r>
        <w:rPr>
          <w:rFonts w:hint="eastAsia"/>
          <w:color w:val="000000"/>
          <w:szCs w:val="21"/>
          <w:highlight w:val="yellow"/>
        </w:rPr>
        <w:t xml:space="preserve"> </w:t>
      </w:r>
      <w:r>
        <w:rPr>
          <w:rFonts w:hint="eastAsia"/>
          <w:color w:val="000000"/>
          <w:szCs w:val="21"/>
          <w:highlight w:val="yellow"/>
        </w:rPr>
        <w:t>李帆冰</w:t>
      </w:r>
      <w:r>
        <w:rPr>
          <w:rFonts w:hint="eastAsia"/>
          <w:color w:val="000000"/>
          <w:szCs w:val="21"/>
          <w:highlight w:val="yellow"/>
        </w:rPr>
        <w:t xml:space="preserve"> </w:t>
      </w:r>
      <w:r>
        <w:rPr>
          <w:rFonts w:hint="eastAsia"/>
          <w:color w:val="000000"/>
          <w:szCs w:val="21"/>
          <w:highlight w:val="yellow"/>
        </w:rPr>
        <w:t>钱锐</w:t>
      </w:r>
      <w:r>
        <w:rPr>
          <w:rFonts w:hint="eastAsia"/>
          <w:color w:val="000000"/>
          <w:szCs w:val="21"/>
          <w:highlight w:val="yellow"/>
        </w:rPr>
        <w:t xml:space="preserve"> </w:t>
      </w:r>
      <w:r>
        <w:rPr>
          <w:rFonts w:hint="eastAsia"/>
          <w:color w:val="000000"/>
          <w:szCs w:val="21"/>
          <w:highlight w:val="yellow"/>
        </w:rPr>
        <w:t>徐莉娅</w:t>
      </w:r>
      <w:r>
        <w:rPr>
          <w:rFonts w:hint="eastAsia"/>
          <w:color w:val="000000"/>
          <w:szCs w:val="21"/>
          <w:highlight w:val="yellow"/>
        </w:rPr>
        <w:t xml:space="preserve"> </w:t>
      </w:r>
      <w:r>
        <w:rPr>
          <w:rFonts w:hint="eastAsia"/>
          <w:color w:val="000000"/>
          <w:szCs w:val="21"/>
          <w:highlight w:val="yellow"/>
        </w:rPr>
        <w:t>林云</w:t>
      </w:r>
      <w:r>
        <w:rPr>
          <w:rFonts w:hint="eastAsia"/>
          <w:color w:val="000000"/>
          <w:szCs w:val="21"/>
          <w:highlight w:val="yellow"/>
        </w:rPr>
        <w:t xml:space="preserve"> </w:t>
      </w:r>
      <w:r>
        <w:rPr>
          <w:rFonts w:hint="eastAsia"/>
          <w:color w:val="000000"/>
          <w:szCs w:val="21"/>
          <w:highlight w:val="yellow"/>
        </w:rPr>
        <w:t>王家兰</w:t>
      </w:r>
      <w:r>
        <w:rPr>
          <w:rFonts w:hint="eastAsia"/>
          <w:color w:val="000000"/>
          <w:szCs w:val="21"/>
          <w:highlight w:val="yellow"/>
        </w:rPr>
        <w:t xml:space="preserve"> </w:t>
      </w:r>
      <w:r>
        <w:rPr>
          <w:rFonts w:hint="eastAsia"/>
          <w:color w:val="000000"/>
          <w:szCs w:val="21"/>
          <w:highlight w:val="yellow"/>
        </w:rPr>
        <w:t>李美香</w:t>
      </w:r>
      <w:r>
        <w:rPr>
          <w:rFonts w:hint="eastAsia"/>
          <w:color w:val="000000"/>
          <w:szCs w:val="21"/>
          <w:highlight w:val="yellow"/>
        </w:rPr>
        <w:t xml:space="preserve"> </w:t>
      </w:r>
      <w:r>
        <w:rPr>
          <w:rFonts w:hint="eastAsia"/>
          <w:color w:val="000000"/>
          <w:szCs w:val="21"/>
          <w:highlight w:val="yellow"/>
        </w:rPr>
        <w:t>谢从益</w:t>
      </w:r>
      <w:r>
        <w:rPr>
          <w:rFonts w:hint="eastAsia"/>
          <w:color w:val="000000"/>
          <w:szCs w:val="21"/>
          <w:highlight w:val="yellow"/>
        </w:rPr>
        <w:t xml:space="preserve"> </w:t>
      </w:r>
      <w:r>
        <w:rPr>
          <w:rFonts w:hint="eastAsia"/>
          <w:color w:val="000000"/>
          <w:szCs w:val="21"/>
          <w:highlight w:val="yellow"/>
        </w:rPr>
        <w:t>郭翔兵</w:t>
      </w:r>
      <w:r>
        <w:rPr>
          <w:rFonts w:hint="eastAsia"/>
          <w:color w:val="000000"/>
          <w:szCs w:val="21"/>
          <w:highlight w:val="yellow"/>
        </w:rPr>
        <w:t xml:space="preserve"> </w:t>
      </w:r>
      <w:r>
        <w:rPr>
          <w:rFonts w:hint="eastAsia"/>
          <w:color w:val="000000"/>
          <w:szCs w:val="21"/>
          <w:highlight w:val="yellow"/>
        </w:rPr>
        <w:t>何坚新</w:t>
      </w:r>
      <w:r>
        <w:rPr>
          <w:rFonts w:hint="eastAsia"/>
          <w:color w:val="000000"/>
          <w:szCs w:val="21"/>
          <w:highlight w:val="yellow"/>
        </w:rPr>
        <w:t xml:space="preserve"> </w:t>
      </w:r>
      <w:r>
        <w:rPr>
          <w:rFonts w:hint="eastAsia"/>
          <w:color w:val="000000"/>
          <w:szCs w:val="21"/>
          <w:highlight w:val="yellow"/>
        </w:rPr>
        <w:t>郭延秋</w:t>
      </w:r>
      <w:r>
        <w:rPr>
          <w:rFonts w:hint="eastAsia"/>
          <w:color w:val="000000"/>
          <w:szCs w:val="21"/>
          <w:highlight w:val="yellow"/>
        </w:rPr>
        <w:t xml:space="preserve"> </w:t>
      </w:r>
      <w:r>
        <w:rPr>
          <w:rFonts w:hint="eastAsia"/>
          <w:color w:val="000000"/>
          <w:szCs w:val="21"/>
          <w:highlight w:val="yellow"/>
        </w:rPr>
        <w:t>陈耀昆</w:t>
      </w:r>
      <w:r>
        <w:rPr>
          <w:rFonts w:hint="eastAsia"/>
          <w:color w:val="000000"/>
          <w:szCs w:val="21"/>
          <w:highlight w:val="yellow"/>
        </w:rPr>
        <w:t xml:space="preserve"> </w:t>
      </w:r>
      <w:r>
        <w:rPr>
          <w:rFonts w:hint="eastAsia"/>
          <w:color w:val="000000"/>
          <w:szCs w:val="21"/>
          <w:highlight w:val="yellow"/>
        </w:rPr>
        <w:t>及各临床科室主任</w:t>
      </w:r>
    </w:p>
    <w:p w:rsidR="0079502E" w:rsidRDefault="0079502E" w:rsidP="0079502E">
      <w:pPr>
        <w:numPr>
          <w:ilvl w:val="0"/>
          <w:numId w:val="2"/>
        </w:numPr>
        <w:ind w:left="0" w:firstLineChars="200" w:firstLine="420"/>
        <w:rPr>
          <w:rFonts w:hint="eastAsia"/>
          <w:color w:val="000000"/>
          <w:szCs w:val="21"/>
        </w:rPr>
      </w:pPr>
      <w:r>
        <w:rPr>
          <w:rFonts w:hint="eastAsia"/>
          <w:color w:val="000000"/>
          <w:szCs w:val="21"/>
        </w:rPr>
        <w:t>办公室（设在药学部）</w:t>
      </w:r>
    </w:p>
    <w:p w:rsidR="0079502E" w:rsidRDefault="0079502E" w:rsidP="0079502E">
      <w:pPr>
        <w:ind w:firstLineChars="200" w:firstLine="420"/>
        <w:rPr>
          <w:rFonts w:hint="eastAsia"/>
          <w:color w:val="000000"/>
          <w:szCs w:val="21"/>
          <w:highlight w:val="yellow"/>
        </w:rPr>
      </w:pPr>
      <w:r>
        <w:rPr>
          <w:rFonts w:hint="eastAsia"/>
          <w:color w:val="000000"/>
          <w:szCs w:val="21"/>
          <w:highlight w:val="yellow"/>
        </w:rPr>
        <w:t>办公室主任：夏杰</w:t>
      </w:r>
    </w:p>
    <w:p w:rsidR="0079502E" w:rsidRDefault="0079502E" w:rsidP="0079502E">
      <w:pPr>
        <w:ind w:firstLineChars="200" w:firstLine="420"/>
        <w:rPr>
          <w:rFonts w:hint="eastAsia"/>
          <w:color w:val="000000"/>
          <w:szCs w:val="21"/>
          <w:highlight w:val="yellow"/>
        </w:rPr>
      </w:pPr>
      <w:r>
        <w:rPr>
          <w:rFonts w:hint="eastAsia"/>
          <w:color w:val="000000"/>
          <w:szCs w:val="21"/>
          <w:highlight w:val="yellow"/>
        </w:rPr>
        <w:t>办公室副主任：李帆冰</w:t>
      </w:r>
      <w:r>
        <w:rPr>
          <w:rFonts w:hint="eastAsia"/>
          <w:color w:val="000000"/>
          <w:szCs w:val="21"/>
          <w:highlight w:val="yellow"/>
        </w:rPr>
        <w:t xml:space="preserve"> </w:t>
      </w:r>
      <w:r>
        <w:rPr>
          <w:rFonts w:hint="eastAsia"/>
          <w:color w:val="000000"/>
          <w:szCs w:val="21"/>
          <w:highlight w:val="yellow"/>
        </w:rPr>
        <w:t>王家兰</w:t>
      </w:r>
    </w:p>
    <w:p w:rsidR="0079502E" w:rsidRDefault="0079502E" w:rsidP="0079502E">
      <w:pPr>
        <w:ind w:firstLineChars="200" w:firstLine="420"/>
        <w:rPr>
          <w:rFonts w:hint="eastAsia"/>
          <w:color w:val="000000"/>
          <w:szCs w:val="21"/>
          <w:highlight w:val="yellow"/>
        </w:rPr>
      </w:pPr>
      <w:r>
        <w:rPr>
          <w:rFonts w:hint="eastAsia"/>
          <w:color w:val="000000"/>
          <w:szCs w:val="21"/>
          <w:highlight w:val="yellow"/>
        </w:rPr>
        <w:t>办公室成员：李松梅</w:t>
      </w:r>
      <w:r>
        <w:rPr>
          <w:rFonts w:hint="eastAsia"/>
          <w:color w:val="000000"/>
          <w:szCs w:val="21"/>
          <w:highlight w:val="yellow"/>
        </w:rPr>
        <w:t xml:space="preserve"> </w:t>
      </w:r>
      <w:r>
        <w:rPr>
          <w:rFonts w:hint="eastAsia"/>
          <w:color w:val="000000"/>
          <w:szCs w:val="21"/>
          <w:highlight w:val="yellow"/>
        </w:rPr>
        <w:t>明溪</w:t>
      </w:r>
      <w:r>
        <w:rPr>
          <w:rFonts w:hint="eastAsia"/>
          <w:color w:val="000000"/>
          <w:szCs w:val="21"/>
          <w:highlight w:val="yellow"/>
        </w:rPr>
        <w:t xml:space="preserve"> </w:t>
      </w:r>
      <w:r>
        <w:rPr>
          <w:rFonts w:hint="eastAsia"/>
          <w:color w:val="000000"/>
          <w:szCs w:val="21"/>
          <w:highlight w:val="yellow"/>
        </w:rPr>
        <w:t>夏丽蓉</w:t>
      </w:r>
      <w:r>
        <w:rPr>
          <w:rFonts w:hint="eastAsia"/>
          <w:color w:val="000000"/>
          <w:szCs w:val="21"/>
          <w:highlight w:val="yellow"/>
        </w:rPr>
        <w:t xml:space="preserve"> </w:t>
      </w:r>
      <w:r>
        <w:rPr>
          <w:rFonts w:hint="eastAsia"/>
          <w:color w:val="000000"/>
          <w:szCs w:val="21"/>
          <w:highlight w:val="yellow"/>
        </w:rPr>
        <w:t>乐克媛</w:t>
      </w:r>
      <w:r>
        <w:rPr>
          <w:rFonts w:hint="eastAsia"/>
          <w:color w:val="000000"/>
          <w:szCs w:val="21"/>
          <w:highlight w:val="yellow"/>
        </w:rPr>
        <w:t xml:space="preserve"> </w:t>
      </w:r>
      <w:r>
        <w:rPr>
          <w:rFonts w:hint="eastAsia"/>
          <w:color w:val="000000"/>
          <w:szCs w:val="21"/>
          <w:highlight w:val="yellow"/>
        </w:rPr>
        <w:t>蒋琼</w:t>
      </w:r>
      <w:r>
        <w:rPr>
          <w:rFonts w:hint="eastAsia"/>
          <w:color w:val="000000"/>
          <w:szCs w:val="21"/>
          <w:highlight w:val="yellow"/>
        </w:rPr>
        <w:t xml:space="preserve"> </w:t>
      </w:r>
      <w:r>
        <w:rPr>
          <w:rFonts w:hint="eastAsia"/>
          <w:color w:val="000000"/>
          <w:szCs w:val="21"/>
          <w:highlight w:val="yellow"/>
        </w:rPr>
        <w:t>梁亚敏</w:t>
      </w:r>
      <w:r>
        <w:rPr>
          <w:rFonts w:hint="eastAsia"/>
          <w:color w:val="000000"/>
          <w:szCs w:val="21"/>
          <w:highlight w:val="yellow"/>
        </w:rPr>
        <w:t xml:space="preserve"> </w:t>
      </w:r>
      <w:r>
        <w:rPr>
          <w:rFonts w:hint="eastAsia"/>
          <w:color w:val="000000"/>
          <w:szCs w:val="21"/>
          <w:highlight w:val="yellow"/>
        </w:rPr>
        <w:t>林丹娴</w:t>
      </w:r>
    </w:p>
    <w:p w:rsidR="0079502E" w:rsidRDefault="0079502E" w:rsidP="0079502E">
      <w:pPr>
        <w:ind w:firstLineChars="200" w:firstLine="420"/>
        <w:rPr>
          <w:rFonts w:hint="eastAsia"/>
          <w:color w:val="000000"/>
          <w:szCs w:val="21"/>
        </w:rPr>
      </w:pPr>
      <w:r>
        <w:rPr>
          <w:rFonts w:hint="eastAsia"/>
          <w:color w:val="000000"/>
          <w:szCs w:val="21"/>
        </w:rPr>
        <w:t>职责：</w:t>
      </w:r>
    </w:p>
    <w:p w:rsidR="0079502E" w:rsidRDefault="0079502E" w:rsidP="0079502E">
      <w:pPr>
        <w:ind w:firstLineChars="200" w:firstLine="420"/>
        <w:rPr>
          <w:rFonts w:hint="eastAsia"/>
          <w:color w:val="000000"/>
          <w:szCs w:val="21"/>
        </w:rPr>
      </w:pPr>
      <w:r>
        <w:rPr>
          <w:rFonts w:hint="eastAsia"/>
          <w:color w:val="000000"/>
          <w:szCs w:val="21"/>
        </w:rPr>
        <w:t>1</w:t>
      </w:r>
      <w:r>
        <w:rPr>
          <w:rFonts w:hint="eastAsia"/>
          <w:color w:val="000000"/>
          <w:szCs w:val="21"/>
        </w:rPr>
        <w:t>、负责药事件的组织协调和处理日常工作，包括收集、分析和综合有关药品安全检测信息，提出预警建议。</w:t>
      </w:r>
    </w:p>
    <w:p w:rsidR="0079502E" w:rsidRDefault="0079502E" w:rsidP="0079502E">
      <w:pPr>
        <w:ind w:firstLineChars="200" w:firstLine="420"/>
        <w:rPr>
          <w:rFonts w:hint="eastAsia"/>
          <w:color w:val="000000"/>
          <w:szCs w:val="21"/>
        </w:rPr>
      </w:pPr>
      <w:r>
        <w:rPr>
          <w:rFonts w:hint="eastAsia"/>
          <w:color w:val="000000"/>
          <w:szCs w:val="21"/>
        </w:rPr>
        <w:t>2</w:t>
      </w:r>
      <w:r>
        <w:rPr>
          <w:rFonts w:hint="eastAsia"/>
          <w:color w:val="000000"/>
          <w:szCs w:val="21"/>
        </w:rPr>
        <w:t>、组织、协调和实施药害事件应急工作预案。</w:t>
      </w:r>
    </w:p>
    <w:p w:rsidR="0079502E" w:rsidRDefault="0079502E" w:rsidP="0079502E">
      <w:pPr>
        <w:ind w:firstLineChars="200" w:firstLine="420"/>
        <w:rPr>
          <w:rFonts w:hint="eastAsia"/>
          <w:color w:val="000000"/>
          <w:szCs w:val="21"/>
        </w:rPr>
      </w:pPr>
      <w:r>
        <w:rPr>
          <w:rFonts w:hint="eastAsia"/>
          <w:color w:val="000000"/>
          <w:szCs w:val="21"/>
        </w:rPr>
        <w:t>3</w:t>
      </w:r>
      <w:r>
        <w:rPr>
          <w:rFonts w:hint="eastAsia"/>
          <w:color w:val="000000"/>
          <w:szCs w:val="21"/>
        </w:rPr>
        <w:t>、药害事件发生时，组织协调相关部门联动和配合，建立药害事件处理责任制和责任追究制，对有关责任人提出处理意见；组织撰写总结报告，及时与新闻媒体联系，通报或发布有关情况。</w:t>
      </w:r>
    </w:p>
    <w:p w:rsidR="0079502E" w:rsidRDefault="0079502E" w:rsidP="0079502E">
      <w:pPr>
        <w:ind w:firstLineChars="200" w:firstLine="420"/>
        <w:rPr>
          <w:rFonts w:hint="eastAsia"/>
          <w:color w:val="000000"/>
          <w:szCs w:val="21"/>
        </w:rPr>
      </w:pPr>
      <w:r>
        <w:rPr>
          <w:rFonts w:hint="eastAsia"/>
          <w:color w:val="000000"/>
          <w:szCs w:val="21"/>
        </w:rPr>
        <w:t>4</w:t>
      </w:r>
      <w:r>
        <w:rPr>
          <w:rFonts w:hint="eastAsia"/>
          <w:color w:val="000000"/>
          <w:szCs w:val="21"/>
        </w:rPr>
        <w:t>、主要职责是深入现场，调查取证，收集药害事件第一手信息资料，根据事件的势态，必要时依法采取行政强制措施，向领导小组报告现场情况，提出相关的措施建议，根据领导小组决定迅速采取有效措施控制事态蔓延。</w:t>
      </w:r>
    </w:p>
    <w:p w:rsidR="0079502E" w:rsidRDefault="0079502E" w:rsidP="0079502E">
      <w:pPr>
        <w:ind w:firstLineChars="200" w:firstLine="420"/>
        <w:rPr>
          <w:rFonts w:hint="eastAsia"/>
          <w:color w:val="000000"/>
          <w:szCs w:val="21"/>
        </w:rPr>
      </w:pPr>
      <w:r>
        <w:rPr>
          <w:rFonts w:hint="eastAsia"/>
          <w:color w:val="000000"/>
          <w:szCs w:val="21"/>
        </w:rPr>
        <w:t>二、本程序适用于突然发生，造成或可能造成人体健康严重损害的药品安全事件的应急处理工作。</w:t>
      </w:r>
    </w:p>
    <w:p w:rsidR="0079502E" w:rsidRDefault="0079502E" w:rsidP="0079502E">
      <w:pPr>
        <w:ind w:firstLineChars="200" w:firstLine="420"/>
        <w:rPr>
          <w:rFonts w:hint="eastAsia"/>
          <w:color w:val="000000"/>
          <w:szCs w:val="21"/>
        </w:rPr>
      </w:pPr>
      <w:r>
        <w:rPr>
          <w:rFonts w:hint="eastAsia"/>
          <w:color w:val="000000"/>
          <w:szCs w:val="21"/>
        </w:rPr>
        <w:t>三、药品安全危害事件（以下简称药害事件）是指突然发生，对社会公众健康造成或可能造成严重损害的重大药品质量事件，群体性药害事件，严重药品不良反应事件，重大制售假劣药品事件及其他严重影响公众健康的突发药品安全事件。</w:t>
      </w:r>
    </w:p>
    <w:p w:rsidR="0079502E" w:rsidRDefault="0079502E" w:rsidP="0079502E">
      <w:pPr>
        <w:ind w:firstLineChars="200" w:firstLine="420"/>
        <w:rPr>
          <w:rFonts w:hint="eastAsia"/>
          <w:color w:val="000000"/>
          <w:szCs w:val="21"/>
        </w:rPr>
      </w:pPr>
      <w:r>
        <w:rPr>
          <w:rFonts w:hint="eastAsia"/>
          <w:color w:val="000000"/>
          <w:szCs w:val="21"/>
        </w:rPr>
        <w:t>四、根据药品突发事件的性质、危害程序、涉及范围，可能或已经对社会造成的不良影响，将突发事件分为三个等级。</w:t>
      </w:r>
    </w:p>
    <w:p w:rsidR="0079502E" w:rsidRDefault="0079502E" w:rsidP="0079502E">
      <w:pPr>
        <w:ind w:firstLineChars="200" w:firstLine="420"/>
        <w:rPr>
          <w:rFonts w:hint="eastAsia"/>
          <w:color w:val="000000"/>
          <w:szCs w:val="21"/>
        </w:rPr>
      </w:pPr>
      <w:r>
        <w:rPr>
          <w:rFonts w:hint="eastAsia"/>
          <w:color w:val="000000"/>
          <w:szCs w:val="21"/>
        </w:rPr>
        <w:t>一级：重大药害事件。指药害事件在全院范围影响大，波及范围广，蔓延势头紧急，已经发生一人以上死亡，或者三人以上重伤、或者致人严重残疾，或者十人以上轻伤或者其他特别严重后果的事件。</w:t>
      </w:r>
    </w:p>
    <w:p w:rsidR="0079502E" w:rsidRDefault="0079502E" w:rsidP="0079502E">
      <w:pPr>
        <w:ind w:firstLineChars="200" w:firstLine="420"/>
        <w:rPr>
          <w:rFonts w:hint="eastAsia"/>
          <w:color w:val="000000"/>
          <w:szCs w:val="21"/>
        </w:rPr>
      </w:pPr>
      <w:r>
        <w:rPr>
          <w:rFonts w:hint="eastAsia"/>
          <w:color w:val="000000"/>
          <w:szCs w:val="21"/>
        </w:rPr>
        <w:t>二级：较大药害事件。指药害事件在医院范围影响扩大，蔓延势头有升级趋势，已经导致一人重伤，或者五人以上轻伤或者其他严重后果的事件。</w:t>
      </w:r>
    </w:p>
    <w:p w:rsidR="0079502E" w:rsidRDefault="0079502E" w:rsidP="0079502E">
      <w:pPr>
        <w:ind w:firstLineChars="200" w:firstLine="420"/>
        <w:rPr>
          <w:rFonts w:hint="eastAsia"/>
          <w:color w:val="000000"/>
          <w:szCs w:val="21"/>
        </w:rPr>
      </w:pPr>
      <w:r>
        <w:rPr>
          <w:rFonts w:hint="eastAsia"/>
          <w:color w:val="000000"/>
          <w:szCs w:val="21"/>
        </w:rPr>
        <w:t>三级：一般药害事件，指药害事件在一定区域内造成较大影响，危害较为严重，具有较为明显的蔓延势头，已经导致一人以上，五人以下轻伤或其他后果的药品药害事件。</w:t>
      </w:r>
    </w:p>
    <w:p w:rsidR="0079502E" w:rsidRDefault="0079502E" w:rsidP="0079502E">
      <w:pPr>
        <w:ind w:firstLineChars="200" w:firstLine="420"/>
        <w:rPr>
          <w:rFonts w:hint="eastAsia"/>
          <w:color w:val="000000"/>
          <w:szCs w:val="21"/>
        </w:rPr>
      </w:pPr>
      <w:r>
        <w:rPr>
          <w:rFonts w:hint="eastAsia"/>
          <w:color w:val="000000"/>
          <w:szCs w:val="21"/>
        </w:rPr>
        <w:t>五、药害事件应急工作，应坚持以人为本和预防为主，常备不懈的方针，贯彻统一领导，分级负责，快速反应，依法处理的原则。</w:t>
      </w:r>
    </w:p>
    <w:p w:rsidR="0079502E" w:rsidRDefault="0079502E" w:rsidP="0079502E">
      <w:pPr>
        <w:ind w:firstLineChars="200" w:firstLine="420"/>
        <w:rPr>
          <w:rFonts w:hint="eastAsia"/>
          <w:color w:val="000000"/>
          <w:szCs w:val="21"/>
        </w:rPr>
      </w:pPr>
      <w:r>
        <w:rPr>
          <w:rFonts w:hint="eastAsia"/>
          <w:color w:val="000000"/>
          <w:szCs w:val="21"/>
        </w:rPr>
        <w:t>六、药害事件的报告</w:t>
      </w:r>
    </w:p>
    <w:p w:rsidR="0079502E" w:rsidRDefault="0079502E" w:rsidP="0079502E">
      <w:pPr>
        <w:ind w:firstLineChars="200" w:firstLine="420"/>
        <w:rPr>
          <w:rFonts w:hint="eastAsia"/>
          <w:color w:val="000000"/>
          <w:szCs w:val="21"/>
        </w:rPr>
      </w:pPr>
      <w:r>
        <w:rPr>
          <w:rFonts w:hint="eastAsia"/>
          <w:color w:val="000000"/>
          <w:szCs w:val="21"/>
        </w:rPr>
        <w:t>（一）医院任何科室和个人有权及时向领导小组报告药害事件，药害事件的发生部门负有及时向有关部门报告药品药害事件的义务。</w:t>
      </w:r>
    </w:p>
    <w:p w:rsidR="0079502E" w:rsidRDefault="0079502E" w:rsidP="0079502E">
      <w:pPr>
        <w:ind w:firstLineChars="200" w:firstLine="420"/>
        <w:rPr>
          <w:rFonts w:hint="eastAsia"/>
          <w:color w:val="000000"/>
          <w:szCs w:val="21"/>
        </w:rPr>
      </w:pPr>
      <w:r>
        <w:rPr>
          <w:rFonts w:hint="eastAsia"/>
          <w:color w:val="000000"/>
          <w:szCs w:val="21"/>
        </w:rPr>
        <w:t>（二）各医疗科室在获悉有关药害事件信息时，应立即向领导小组办公室报告，重大药害事件信息需在</w:t>
      </w:r>
      <w:r>
        <w:rPr>
          <w:rFonts w:hint="eastAsia"/>
          <w:color w:val="000000"/>
          <w:szCs w:val="21"/>
        </w:rPr>
        <w:t>2</w:t>
      </w:r>
      <w:r>
        <w:rPr>
          <w:rFonts w:hint="eastAsia"/>
          <w:color w:val="000000"/>
          <w:szCs w:val="21"/>
        </w:rPr>
        <w:t>小时内上报，不得隐瞒、缓报和谎报。</w:t>
      </w:r>
    </w:p>
    <w:p w:rsidR="0079502E" w:rsidRDefault="0079502E" w:rsidP="0079502E">
      <w:pPr>
        <w:ind w:firstLineChars="200" w:firstLine="420"/>
        <w:rPr>
          <w:rFonts w:hint="eastAsia"/>
          <w:color w:val="000000"/>
          <w:szCs w:val="21"/>
        </w:rPr>
      </w:pPr>
      <w:r>
        <w:rPr>
          <w:rFonts w:hint="eastAsia"/>
          <w:color w:val="000000"/>
          <w:szCs w:val="21"/>
        </w:rPr>
        <w:t>（三）各医疗科室在接到药害事件的信息或报告后，应立即进行情况调查，分析或汇总，在规定时间内报领导小组办公室，重大药害事件可越级上报。</w:t>
      </w:r>
    </w:p>
    <w:p w:rsidR="0079502E" w:rsidRDefault="0079502E" w:rsidP="0079502E">
      <w:pPr>
        <w:ind w:firstLineChars="200" w:firstLine="420"/>
        <w:rPr>
          <w:rFonts w:hint="eastAsia"/>
          <w:color w:val="000000"/>
          <w:szCs w:val="21"/>
        </w:rPr>
      </w:pPr>
      <w:r>
        <w:rPr>
          <w:rFonts w:hint="eastAsia"/>
          <w:color w:val="000000"/>
          <w:szCs w:val="21"/>
        </w:rPr>
        <w:t>（四）根据药害事件的发展势态，应急报告分为初次报告、动态报告和总结报告。</w:t>
      </w:r>
    </w:p>
    <w:p w:rsidR="0079502E" w:rsidRDefault="0079502E" w:rsidP="0079502E">
      <w:pPr>
        <w:ind w:firstLineChars="200" w:firstLine="420"/>
        <w:rPr>
          <w:rFonts w:hint="eastAsia"/>
          <w:color w:val="000000"/>
          <w:szCs w:val="21"/>
        </w:rPr>
      </w:pPr>
      <w:r>
        <w:rPr>
          <w:rFonts w:hint="eastAsia"/>
          <w:color w:val="000000"/>
          <w:szCs w:val="21"/>
        </w:rPr>
        <w:t>1</w:t>
      </w:r>
      <w:r>
        <w:rPr>
          <w:rFonts w:hint="eastAsia"/>
          <w:color w:val="000000"/>
          <w:szCs w:val="21"/>
        </w:rPr>
        <w:t>、初次报告内容：事件发生的时间、地点、涉及人数、潜在影响、发展趋势分析、拟采取的措施等。</w:t>
      </w:r>
    </w:p>
    <w:p w:rsidR="0079502E" w:rsidRDefault="0079502E" w:rsidP="0079502E">
      <w:pPr>
        <w:ind w:firstLineChars="200" w:firstLine="420"/>
        <w:rPr>
          <w:rFonts w:hint="eastAsia"/>
          <w:color w:val="000000"/>
          <w:szCs w:val="21"/>
        </w:rPr>
      </w:pPr>
      <w:r>
        <w:rPr>
          <w:rFonts w:hint="eastAsia"/>
          <w:color w:val="000000"/>
          <w:szCs w:val="21"/>
        </w:rPr>
        <w:t>2</w:t>
      </w:r>
      <w:r>
        <w:rPr>
          <w:rFonts w:hint="eastAsia"/>
          <w:color w:val="000000"/>
          <w:szCs w:val="21"/>
        </w:rPr>
        <w:t>、动态报告内容：根据药害事件的发展趋势，及时报告药害事件的发展、变化以及采</w:t>
      </w:r>
      <w:r>
        <w:rPr>
          <w:rFonts w:hint="eastAsia"/>
          <w:color w:val="000000"/>
          <w:szCs w:val="21"/>
        </w:rPr>
        <w:lastRenderedPageBreak/>
        <w:t>取的应对或处理措施。</w:t>
      </w:r>
    </w:p>
    <w:p w:rsidR="0079502E" w:rsidRDefault="0079502E" w:rsidP="0079502E">
      <w:pPr>
        <w:ind w:firstLineChars="200" w:firstLine="420"/>
        <w:rPr>
          <w:rFonts w:hint="eastAsia"/>
          <w:color w:val="000000"/>
          <w:szCs w:val="21"/>
        </w:rPr>
      </w:pPr>
      <w:r>
        <w:rPr>
          <w:rFonts w:hint="eastAsia"/>
          <w:color w:val="000000"/>
          <w:szCs w:val="21"/>
        </w:rPr>
        <w:t>3</w:t>
      </w:r>
      <w:r>
        <w:rPr>
          <w:rFonts w:hint="eastAsia"/>
          <w:color w:val="000000"/>
          <w:szCs w:val="21"/>
        </w:rPr>
        <w:t>、总结报告内容：主要包括事件的因果分析和应对措施的探讨，对今后类似事件的防范和建议等。</w:t>
      </w:r>
    </w:p>
    <w:p w:rsidR="0079502E" w:rsidRDefault="0079502E" w:rsidP="0079502E">
      <w:pPr>
        <w:ind w:firstLineChars="200" w:firstLine="422"/>
        <w:jc w:val="center"/>
        <w:rPr>
          <w:rFonts w:hint="eastAsia"/>
          <w:b/>
          <w:color w:val="000000"/>
          <w:szCs w:val="21"/>
        </w:rPr>
      </w:pPr>
      <w:r>
        <w:rPr>
          <w:rFonts w:hint="eastAsia"/>
          <w:b/>
          <w:color w:val="000000"/>
          <w:szCs w:val="21"/>
        </w:rPr>
        <w:t>附：药害事件的处理程序</w:t>
      </w:r>
    </w:p>
    <w:p w:rsidR="0079502E" w:rsidRDefault="0079502E" w:rsidP="0079502E">
      <w:pPr>
        <w:ind w:firstLineChars="200" w:firstLine="420"/>
        <w:rPr>
          <w:rFonts w:hint="eastAsia"/>
          <w:color w:val="000000"/>
          <w:szCs w:val="21"/>
        </w:rPr>
      </w:pPr>
      <w:r>
        <w:rPr>
          <w:rFonts w:hint="eastAsia"/>
          <w:color w:val="000000"/>
          <w:szCs w:val="21"/>
        </w:rPr>
        <w:t xml:space="preserve">  </w:t>
      </w:r>
      <w:r>
        <w:rPr>
          <w:rFonts w:hint="eastAsia"/>
          <w:color w:val="000000"/>
          <w:szCs w:val="21"/>
        </w:rPr>
        <w:t>为有效、及时控制和正确处置各类药害事件，保障公众的身体建康和生命安全，根据《中些人民共和国药品管理法》、《医疗机构药事管理规定》和《凤庆县中医医院药害事件调查、处理制度》的规定制定本处理程序。</w:t>
      </w:r>
    </w:p>
    <w:p w:rsidR="0079502E" w:rsidRDefault="0079502E" w:rsidP="0079502E">
      <w:pPr>
        <w:ind w:firstLineChars="200" w:firstLine="420"/>
        <w:rPr>
          <w:rFonts w:hint="eastAsia"/>
          <w:color w:val="000000"/>
          <w:szCs w:val="21"/>
        </w:rPr>
      </w:pPr>
      <w:r>
        <w:rPr>
          <w:rFonts w:hint="eastAsia"/>
          <w:color w:val="000000"/>
          <w:szCs w:val="21"/>
        </w:rPr>
        <w:t>药品安全事件发生后，按照药害事件的性质和等级分别采取以下三套应急预案进行处置。</w:t>
      </w:r>
    </w:p>
    <w:p w:rsidR="0079502E" w:rsidRDefault="0079502E" w:rsidP="0079502E">
      <w:pPr>
        <w:ind w:firstLineChars="200" w:firstLine="420"/>
        <w:rPr>
          <w:rFonts w:hint="eastAsia"/>
          <w:color w:val="000000"/>
          <w:szCs w:val="21"/>
        </w:rPr>
      </w:pPr>
      <w:r>
        <w:rPr>
          <w:rFonts w:hint="eastAsia"/>
          <w:color w:val="000000"/>
          <w:szCs w:val="21"/>
        </w:rPr>
        <w:t>一、第一套预案：发生一级药害事件时启动。</w:t>
      </w:r>
    </w:p>
    <w:p w:rsidR="0079502E" w:rsidRDefault="0079502E" w:rsidP="0079502E">
      <w:pPr>
        <w:ind w:firstLineChars="200" w:firstLine="420"/>
        <w:rPr>
          <w:rFonts w:hint="eastAsia"/>
          <w:color w:val="000000"/>
          <w:szCs w:val="21"/>
        </w:rPr>
      </w:pPr>
      <w:r>
        <w:rPr>
          <w:rFonts w:hint="eastAsia"/>
          <w:color w:val="000000"/>
          <w:szCs w:val="21"/>
        </w:rPr>
        <w:t>（一）接到药害事件报告后，院领导小组及办公室应立即进入应急状态，对报告的内容进行核实，确认后下达指令，督导组尽快赶赴现，同时报告同级人民政府和市食品药品监管局。</w:t>
      </w:r>
    </w:p>
    <w:p w:rsidR="0079502E" w:rsidRDefault="0079502E" w:rsidP="0079502E">
      <w:pPr>
        <w:ind w:firstLineChars="200" w:firstLine="420"/>
        <w:rPr>
          <w:rFonts w:hint="eastAsia"/>
          <w:color w:val="000000"/>
          <w:szCs w:val="21"/>
        </w:rPr>
      </w:pPr>
      <w:r>
        <w:rPr>
          <w:rFonts w:hint="eastAsia"/>
          <w:color w:val="000000"/>
          <w:szCs w:val="21"/>
        </w:rPr>
        <w:t>（二）到达现场后应立即组织、协调有关部门开展以下工作采取紧急措施，控制事态发展。</w:t>
      </w:r>
    </w:p>
    <w:p w:rsidR="0079502E" w:rsidRDefault="0079502E" w:rsidP="0079502E">
      <w:pPr>
        <w:ind w:firstLineChars="200" w:firstLine="420"/>
        <w:rPr>
          <w:rFonts w:hint="eastAsia"/>
          <w:color w:val="000000"/>
          <w:szCs w:val="21"/>
        </w:rPr>
      </w:pPr>
      <w:r>
        <w:rPr>
          <w:rFonts w:hint="eastAsia"/>
          <w:color w:val="000000"/>
          <w:szCs w:val="21"/>
        </w:rPr>
        <w:t>（三）启动医院突发公共卫生事件应急领导小组，开展伤员救治工作</w:t>
      </w:r>
    </w:p>
    <w:p w:rsidR="0079502E" w:rsidRDefault="0079502E" w:rsidP="0079502E">
      <w:pPr>
        <w:ind w:firstLineChars="200" w:firstLine="420"/>
        <w:rPr>
          <w:rFonts w:hint="eastAsia"/>
          <w:color w:val="000000"/>
          <w:szCs w:val="21"/>
        </w:rPr>
      </w:pPr>
      <w:r>
        <w:rPr>
          <w:rFonts w:hint="eastAsia"/>
          <w:color w:val="000000"/>
          <w:szCs w:val="21"/>
        </w:rPr>
        <w:t>（四）查明事件原因，依法提取有效证据：对有证据证明可能危害人体健康的药品及其有关证据材料采取查封、扣押等行政强制措施，对质量可疑的药品进行抽样送检：已流入社会的有毒有害物品立即采取紧急控制措施，对源头和流通、使用渠道进行全面监控，必要时会同公安、卫生等有关部门迅速组织，协调有关单位采取紧急控制措施，以控制药害事件的进一步发展。</w:t>
      </w:r>
    </w:p>
    <w:p w:rsidR="0079502E" w:rsidRDefault="0079502E" w:rsidP="0079502E">
      <w:pPr>
        <w:ind w:firstLineChars="200" w:firstLine="420"/>
        <w:rPr>
          <w:rFonts w:hint="eastAsia"/>
          <w:color w:val="000000"/>
          <w:szCs w:val="21"/>
        </w:rPr>
      </w:pPr>
      <w:r>
        <w:rPr>
          <w:rFonts w:hint="eastAsia"/>
          <w:color w:val="000000"/>
          <w:szCs w:val="21"/>
        </w:rPr>
        <w:t>（五）现场处理工作实行动态报告制度。即每</w:t>
      </w:r>
      <w:r>
        <w:rPr>
          <w:rFonts w:hint="eastAsia"/>
          <w:color w:val="000000"/>
          <w:szCs w:val="21"/>
        </w:rPr>
        <w:t>4</w:t>
      </w:r>
      <w:r>
        <w:rPr>
          <w:rFonts w:hint="eastAsia"/>
          <w:color w:val="000000"/>
          <w:szCs w:val="21"/>
        </w:rPr>
        <w:t>卟时一次同院应急工作领导小组和当地政府报告药害事件的应急工作情况，设专门值班室安排双人</w:t>
      </w:r>
      <w:r>
        <w:rPr>
          <w:rFonts w:hint="eastAsia"/>
          <w:color w:val="000000"/>
          <w:szCs w:val="21"/>
        </w:rPr>
        <w:t>24</w:t>
      </w:r>
      <w:r>
        <w:rPr>
          <w:rFonts w:hint="eastAsia"/>
          <w:color w:val="000000"/>
          <w:szCs w:val="21"/>
        </w:rPr>
        <w:t>小时值班电话，做好记录。</w:t>
      </w:r>
    </w:p>
    <w:p w:rsidR="0079502E" w:rsidRDefault="0079502E" w:rsidP="0079502E">
      <w:pPr>
        <w:ind w:firstLineChars="200" w:firstLine="420"/>
        <w:rPr>
          <w:rFonts w:hint="eastAsia"/>
          <w:color w:val="000000"/>
          <w:szCs w:val="21"/>
        </w:rPr>
      </w:pPr>
      <w:r>
        <w:rPr>
          <w:rFonts w:hint="eastAsia"/>
          <w:color w:val="000000"/>
          <w:szCs w:val="21"/>
        </w:rPr>
        <w:t>(</w:t>
      </w:r>
      <w:r>
        <w:rPr>
          <w:rFonts w:hint="eastAsia"/>
          <w:color w:val="000000"/>
          <w:szCs w:val="21"/>
        </w:rPr>
        <w:t>六</w:t>
      </w:r>
      <w:r>
        <w:rPr>
          <w:rFonts w:hint="eastAsia"/>
          <w:color w:val="000000"/>
          <w:szCs w:val="21"/>
        </w:rPr>
        <w:t>)</w:t>
      </w:r>
      <w:r>
        <w:rPr>
          <w:rFonts w:hint="eastAsia"/>
          <w:color w:val="000000"/>
          <w:szCs w:val="21"/>
        </w:rPr>
        <w:t>应急工作领导小组实行领导在岗、车辆备勤、通讯畅通有关人员都要服从所在单位的统一调度。</w:t>
      </w:r>
    </w:p>
    <w:p w:rsidR="0079502E" w:rsidRDefault="0079502E" w:rsidP="0079502E">
      <w:pPr>
        <w:ind w:firstLineChars="200" w:firstLine="420"/>
        <w:rPr>
          <w:rFonts w:hint="eastAsia"/>
          <w:color w:val="000000"/>
          <w:szCs w:val="21"/>
        </w:rPr>
      </w:pPr>
      <w:r>
        <w:rPr>
          <w:rFonts w:hint="eastAsia"/>
          <w:color w:val="000000"/>
          <w:szCs w:val="21"/>
        </w:rPr>
        <w:t>（七）加强与新闻媒体的沟通，及时向媒体发布药害事件的动态，公正舆论，稳定人心，消除恐慌。</w:t>
      </w:r>
    </w:p>
    <w:p w:rsidR="0079502E" w:rsidRDefault="0079502E" w:rsidP="0079502E">
      <w:pPr>
        <w:ind w:firstLineChars="200" w:firstLine="420"/>
        <w:rPr>
          <w:rFonts w:hint="eastAsia"/>
          <w:color w:val="000000"/>
          <w:szCs w:val="21"/>
        </w:rPr>
      </w:pPr>
      <w:r>
        <w:rPr>
          <w:rFonts w:hint="eastAsia"/>
          <w:color w:val="000000"/>
          <w:szCs w:val="21"/>
        </w:rPr>
        <w:t>（八）加强后勤保障工作，各级有关单位要保障交通工具及其他所需物品的及时提供。</w:t>
      </w:r>
    </w:p>
    <w:p w:rsidR="0079502E" w:rsidRDefault="0079502E" w:rsidP="0079502E">
      <w:pPr>
        <w:ind w:firstLineChars="200" w:firstLine="420"/>
        <w:rPr>
          <w:rFonts w:hint="eastAsia"/>
          <w:color w:val="000000"/>
          <w:szCs w:val="21"/>
        </w:rPr>
      </w:pPr>
      <w:r>
        <w:rPr>
          <w:rFonts w:hint="eastAsia"/>
          <w:color w:val="000000"/>
          <w:szCs w:val="21"/>
        </w:rPr>
        <w:t>二、第二套预案发生二级药害事件时启动。</w:t>
      </w:r>
    </w:p>
    <w:p w:rsidR="0079502E" w:rsidRDefault="0079502E" w:rsidP="0079502E">
      <w:pPr>
        <w:ind w:firstLineChars="200" w:firstLine="420"/>
        <w:rPr>
          <w:rFonts w:hint="eastAsia"/>
          <w:color w:val="000000"/>
          <w:szCs w:val="21"/>
        </w:rPr>
      </w:pPr>
      <w:r>
        <w:rPr>
          <w:rFonts w:hint="eastAsia"/>
          <w:color w:val="000000"/>
          <w:szCs w:val="21"/>
        </w:rPr>
        <w:t>（一）接到药害事件报告后，院应急工作领导小组应立即进入应急状态，对报告的内容进行核实，确认后下达指令，派出督导组立即启动相应的应急预案在第一时间内赶到现场。</w:t>
      </w:r>
    </w:p>
    <w:p w:rsidR="0079502E" w:rsidRDefault="0079502E" w:rsidP="0079502E">
      <w:pPr>
        <w:ind w:firstLineChars="200" w:firstLine="420"/>
        <w:rPr>
          <w:rFonts w:hint="eastAsia"/>
          <w:color w:val="000000"/>
          <w:szCs w:val="21"/>
        </w:rPr>
      </w:pPr>
      <w:r>
        <w:rPr>
          <w:rFonts w:hint="eastAsia"/>
          <w:color w:val="000000"/>
          <w:szCs w:val="21"/>
        </w:rPr>
        <w:t>（二）到达现场后应互即组织开展以下工作采取紧急措施，开展伤员救治工作控制事态发展</w:t>
      </w:r>
    </w:p>
    <w:p w:rsidR="0079502E" w:rsidRDefault="0079502E" w:rsidP="0079502E">
      <w:pPr>
        <w:ind w:firstLineChars="200" w:firstLine="420"/>
        <w:rPr>
          <w:rFonts w:hint="eastAsia"/>
          <w:color w:val="000000"/>
          <w:szCs w:val="21"/>
        </w:rPr>
      </w:pPr>
      <w:r>
        <w:rPr>
          <w:rFonts w:hint="eastAsia"/>
          <w:color w:val="000000"/>
          <w:szCs w:val="21"/>
        </w:rPr>
        <w:t>（三）查明事件原因，依法提取有效证据对有证据证明可能危害人体健康的药品及其有关证据材料采取查卦、扣押等行政强制措施，对质量可疑的药品进行抽样送检：已注入社会的有毒有害物品立即采取紧急控制措施，对源头和流通、使用渠道进行全面监控。必要时会同公安、卫生等有关部门，迅速组织协调有关堕位采取紧急控制措施，以控甜药吾事件的进一步发展。</w:t>
      </w:r>
    </w:p>
    <w:p w:rsidR="0079502E" w:rsidRDefault="0079502E" w:rsidP="0079502E">
      <w:pPr>
        <w:ind w:firstLineChars="200" w:firstLine="420"/>
        <w:rPr>
          <w:rFonts w:hint="eastAsia"/>
          <w:color w:val="000000"/>
          <w:szCs w:val="21"/>
        </w:rPr>
      </w:pPr>
      <w:r>
        <w:rPr>
          <w:rFonts w:hint="eastAsia"/>
          <w:color w:val="000000"/>
          <w:szCs w:val="21"/>
        </w:rPr>
        <w:t>（四）现场处理工作实行动态报告制度。即每</w:t>
      </w:r>
      <w:r>
        <w:rPr>
          <w:rFonts w:hint="eastAsia"/>
          <w:color w:val="000000"/>
          <w:szCs w:val="21"/>
        </w:rPr>
        <w:t>8</w:t>
      </w:r>
      <w:r>
        <w:rPr>
          <w:rFonts w:hint="eastAsia"/>
          <w:color w:val="000000"/>
          <w:szCs w:val="21"/>
        </w:rPr>
        <w:t>小时一次向院应急工作领导小组报告药害事件的应急工作情况，以便及时采取有效措施，控制事态的发展。</w:t>
      </w:r>
    </w:p>
    <w:p w:rsidR="0079502E" w:rsidRDefault="0079502E" w:rsidP="0079502E">
      <w:pPr>
        <w:ind w:firstLineChars="200" w:firstLine="420"/>
        <w:rPr>
          <w:rFonts w:hint="eastAsia"/>
          <w:color w:val="000000"/>
          <w:szCs w:val="21"/>
        </w:rPr>
      </w:pPr>
      <w:r>
        <w:rPr>
          <w:rFonts w:hint="eastAsia"/>
          <w:color w:val="000000"/>
          <w:szCs w:val="21"/>
        </w:rPr>
        <w:t>（五）院应急荼领导小组的有关人员都要服从所在单位的统一调度，休假人员立即返回工作岗位，开通通讯工——保持通讯畅通。设专门值班室，安排双安排双人</w:t>
      </w:r>
      <w:r>
        <w:rPr>
          <w:rFonts w:hint="eastAsia"/>
          <w:color w:val="000000"/>
          <w:szCs w:val="21"/>
        </w:rPr>
        <w:t>24</w:t>
      </w:r>
      <w:r>
        <w:rPr>
          <w:rFonts w:hint="eastAsia"/>
          <w:color w:val="000000"/>
          <w:szCs w:val="21"/>
        </w:rPr>
        <w:t>小时值班电话，做好记录。</w:t>
      </w:r>
    </w:p>
    <w:p w:rsidR="0079502E" w:rsidRDefault="0079502E" w:rsidP="0079502E">
      <w:pPr>
        <w:ind w:firstLineChars="200" w:firstLine="420"/>
        <w:rPr>
          <w:rFonts w:hint="eastAsia"/>
          <w:color w:val="000000"/>
          <w:szCs w:val="21"/>
        </w:rPr>
      </w:pPr>
      <w:r>
        <w:rPr>
          <w:rFonts w:hint="eastAsia"/>
          <w:color w:val="000000"/>
          <w:szCs w:val="21"/>
        </w:rPr>
        <w:t>（六）加强与新闻媒体的滲，及时与新闻媒体联系，通报有关情况，稳定势态。</w:t>
      </w:r>
    </w:p>
    <w:p w:rsidR="0079502E" w:rsidRDefault="0079502E" w:rsidP="0079502E">
      <w:pPr>
        <w:ind w:firstLineChars="200" w:firstLine="420"/>
        <w:rPr>
          <w:rFonts w:hint="eastAsia"/>
          <w:color w:val="000000"/>
          <w:szCs w:val="21"/>
        </w:rPr>
      </w:pPr>
      <w:r>
        <w:rPr>
          <w:rFonts w:hint="eastAsia"/>
          <w:color w:val="000000"/>
          <w:szCs w:val="21"/>
        </w:rPr>
        <w:t>三、第三套预案：发生三级药害事件时启动。</w:t>
      </w:r>
    </w:p>
    <w:p w:rsidR="0079502E" w:rsidRDefault="0079502E" w:rsidP="0079502E">
      <w:pPr>
        <w:ind w:firstLineChars="200" w:firstLine="420"/>
        <w:rPr>
          <w:rFonts w:hint="eastAsia"/>
          <w:color w:val="000000"/>
          <w:szCs w:val="21"/>
        </w:rPr>
      </w:pPr>
      <w:r>
        <w:rPr>
          <w:rFonts w:hint="eastAsia"/>
          <w:color w:val="000000"/>
          <w:szCs w:val="21"/>
        </w:rPr>
        <w:lastRenderedPageBreak/>
        <w:t>（一）接到药害事件报告后，院应急工作领导小组应立即进入应急状态，畅通应急通讯联络系统，及时调度和综合、分析、汇总应急工作情况，向领导小组报告。</w:t>
      </w:r>
    </w:p>
    <w:p w:rsidR="0079502E" w:rsidRDefault="0079502E" w:rsidP="0079502E">
      <w:pPr>
        <w:ind w:firstLineChars="200" w:firstLine="420"/>
        <w:rPr>
          <w:rFonts w:hint="eastAsia"/>
          <w:color w:val="000000"/>
          <w:szCs w:val="21"/>
        </w:rPr>
      </w:pPr>
      <w:r>
        <w:rPr>
          <w:rFonts w:hint="eastAsia"/>
          <w:color w:val="000000"/>
          <w:szCs w:val="21"/>
        </w:rPr>
        <w:t>（二）院应急工作领导小组要立即启动相应的应急预案，派工作组于</w:t>
      </w:r>
      <w:r>
        <w:rPr>
          <w:rFonts w:hint="eastAsia"/>
          <w:color w:val="000000"/>
          <w:szCs w:val="21"/>
        </w:rPr>
        <w:t>1</w:t>
      </w:r>
      <w:r>
        <w:rPr>
          <w:rFonts w:hint="eastAsia"/>
          <w:color w:val="000000"/>
          <w:szCs w:val="21"/>
        </w:rPr>
        <w:t>小组内赶赴现场，迅速组织开展药害事件的调查及现场处理工作。每</w:t>
      </w:r>
      <w:r>
        <w:rPr>
          <w:rFonts w:hint="eastAsia"/>
          <w:color w:val="000000"/>
          <w:szCs w:val="21"/>
        </w:rPr>
        <w:t>12</w:t>
      </w:r>
      <w:r>
        <w:rPr>
          <w:rFonts w:hint="eastAsia"/>
          <w:color w:val="000000"/>
          <w:szCs w:val="21"/>
        </w:rPr>
        <w:t>小时一次向院应急工作领导小组报告一次药害事件的应急工作情况，以便及时采取有效措施，控制事态的发展。</w:t>
      </w:r>
    </w:p>
    <w:p w:rsidR="0079502E" w:rsidRDefault="0079502E" w:rsidP="0079502E">
      <w:pPr>
        <w:ind w:firstLineChars="200" w:firstLine="420"/>
        <w:rPr>
          <w:rFonts w:hint="eastAsia"/>
          <w:color w:val="000000"/>
          <w:szCs w:val="21"/>
        </w:rPr>
      </w:pPr>
      <w:r>
        <w:rPr>
          <w:rFonts w:hint="eastAsia"/>
          <w:color w:val="000000"/>
          <w:szCs w:val="21"/>
        </w:rPr>
        <w:t>（三）院应急工作领导小组的有关人员都要开通通讯工具，保持通讯畅通，设专门值班室，安排双人</w:t>
      </w:r>
      <w:r>
        <w:rPr>
          <w:rFonts w:hint="eastAsia"/>
          <w:color w:val="000000"/>
          <w:szCs w:val="21"/>
        </w:rPr>
        <w:t>24</w:t>
      </w:r>
      <w:r>
        <w:rPr>
          <w:rFonts w:hint="eastAsia"/>
          <w:color w:val="000000"/>
          <w:szCs w:val="21"/>
        </w:rPr>
        <w:t>小时值班电话，做好记录，及时向领导汇报。</w:t>
      </w:r>
    </w:p>
    <w:p w:rsidR="0079502E" w:rsidRDefault="0079502E" w:rsidP="0079502E">
      <w:pPr>
        <w:ind w:firstLineChars="200" w:firstLine="420"/>
        <w:rPr>
          <w:rFonts w:hint="eastAsia"/>
          <w:color w:val="000000"/>
          <w:szCs w:val="21"/>
        </w:rPr>
      </w:pPr>
      <w:r>
        <w:rPr>
          <w:rFonts w:hint="eastAsia"/>
          <w:color w:val="000000"/>
          <w:szCs w:val="21"/>
        </w:rPr>
        <w:t>（四）加强有关部门的协作开展应急工作，领导小组办公室主动与有关政府部门联系，沟通情况，通报信息，协调工作。</w:t>
      </w:r>
    </w:p>
    <w:p w:rsidR="0079502E" w:rsidRDefault="0079502E" w:rsidP="0079502E">
      <w:pPr>
        <w:ind w:firstLineChars="200" w:firstLine="420"/>
        <w:rPr>
          <w:rFonts w:hint="eastAsia"/>
          <w:color w:val="000000"/>
          <w:szCs w:val="21"/>
        </w:rPr>
      </w:pPr>
      <w:r>
        <w:rPr>
          <w:rFonts w:hint="eastAsia"/>
          <w:color w:val="000000"/>
          <w:szCs w:val="21"/>
        </w:rPr>
        <w:t>四、后期处理</w:t>
      </w:r>
    </w:p>
    <w:p w:rsidR="0079502E" w:rsidRDefault="0079502E" w:rsidP="0079502E">
      <w:pPr>
        <w:ind w:firstLineChars="200" w:firstLine="420"/>
        <w:rPr>
          <w:rFonts w:hint="eastAsia"/>
          <w:color w:val="000000"/>
          <w:szCs w:val="21"/>
        </w:rPr>
      </w:pPr>
      <w:r>
        <w:rPr>
          <w:rFonts w:hint="eastAsia"/>
          <w:color w:val="000000"/>
          <w:szCs w:val="21"/>
        </w:rPr>
        <w:t>（一）药害事件得到有效控制或消除后，院应急工作领导小组须在规定时限内向食品药品监管局和卫生部门报告。</w:t>
      </w:r>
    </w:p>
    <w:p w:rsidR="0079502E" w:rsidRDefault="0079502E" w:rsidP="0079502E">
      <w:pPr>
        <w:ind w:firstLineChars="200" w:firstLine="420"/>
        <w:rPr>
          <w:rFonts w:hint="eastAsia"/>
          <w:color w:val="000000"/>
          <w:szCs w:val="21"/>
        </w:rPr>
      </w:pPr>
      <w:r>
        <w:rPr>
          <w:rFonts w:hint="eastAsia"/>
          <w:color w:val="000000"/>
          <w:szCs w:val="21"/>
        </w:rPr>
        <w:t>（二）药害事件发生后，有关单位或人员未依照本规定履行职责或行动迟缓，失职、污职而造成损失或不良的，有关部门应依照党纪、政纪给予纪律处分或行动处分，对表现突出并做出贡献的予以表彰奖励。</w:t>
      </w:r>
    </w:p>
    <w:p w:rsidR="0079502E" w:rsidRDefault="0079502E" w:rsidP="0079502E">
      <w:pPr>
        <w:pStyle w:val="2"/>
        <w:jc w:val="center"/>
        <w:rPr>
          <w:rFonts w:ascii="华文仿宋" w:eastAsia="华文仿宋" w:hAnsi="华文仿宋" w:cs="华文仿宋" w:hint="eastAsia"/>
          <w:sz w:val="28"/>
          <w:szCs w:val="28"/>
        </w:rPr>
      </w:pPr>
      <w:bookmarkStart w:id="4" w:name="_Toc345403619"/>
      <w:r>
        <w:rPr>
          <w:rFonts w:ascii="华文仿宋" w:eastAsia="华文仿宋" w:hAnsi="华文仿宋" w:cs="华文仿宋" w:hint="eastAsia"/>
          <w:sz w:val="28"/>
          <w:szCs w:val="28"/>
        </w:rPr>
        <w:t>围术期抗癌药物预防应用管理制度</w:t>
      </w:r>
      <w:bookmarkEnd w:id="4"/>
    </w:p>
    <w:p w:rsidR="0079502E" w:rsidRDefault="0079502E" w:rsidP="0079502E">
      <w:pPr>
        <w:ind w:firstLineChars="200" w:firstLine="420"/>
        <w:rPr>
          <w:rFonts w:hint="eastAsia"/>
          <w:color w:val="000000"/>
          <w:szCs w:val="21"/>
        </w:rPr>
      </w:pPr>
      <w:r>
        <w:rPr>
          <w:rFonts w:hint="eastAsia"/>
          <w:color w:val="000000"/>
          <w:szCs w:val="21"/>
        </w:rPr>
        <w:t xml:space="preserve">  </w:t>
      </w:r>
      <w:r>
        <w:rPr>
          <w:rFonts w:hint="eastAsia"/>
          <w:color w:val="000000"/>
          <w:szCs w:val="21"/>
        </w:rPr>
        <w:t>一、手术预防用药的目的：预防手术部位感染，包括切口感染和手术所涉及的器官和腔隙感染，但不包括与手术无直接关系术后可能发生的全身性感染。</w:t>
      </w:r>
    </w:p>
    <w:p w:rsidR="0079502E" w:rsidRDefault="0079502E" w:rsidP="0079502E">
      <w:pPr>
        <w:ind w:firstLineChars="200" w:firstLine="420"/>
        <w:rPr>
          <w:rFonts w:hint="eastAsia"/>
          <w:color w:val="000000"/>
          <w:szCs w:val="21"/>
        </w:rPr>
      </w:pPr>
      <w:r>
        <w:rPr>
          <w:rFonts w:hint="eastAsia"/>
          <w:color w:val="000000"/>
          <w:szCs w:val="21"/>
        </w:rPr>
        <w:t>二、手术预防用药的基本原则：根据手术野有否污染或污染可能决定是否预防使用抗菌药物。</w:t>
      </w:r>
    </w:p>
    <w:p w:rsidR="0079502E" w:rsidRDefault="0079502E" w:rsidP="0079502E">
      <w:pPr>
        <w:ind w:firstLineChars="200" w:firstLine="420"/>
        <w:rPr>
          <w:rFonts w:hint="eastAsia"/>
          <w:color w:val="000000"/>
          <w:szCs w:val="21"/>
        </w:rPr>
      </w:pPr>
      <w:r>
        <w:rPr>
          <w:rFonts w:hint="eastAsia"/>
          <w:color w:val="000000"/>
          <w:szCs w:val="21"/>
        </w:rPr>
        <w:t>（一）清洁手术：手术野为人体无菌部位局部元炎症无损伤也不涉厦呼吸道、消化道、泌尿生殖等人体与外界相通器官。手术野无污染，通常不需要预防用抗菌药，仅在下列情况时可考虑预防用药：</w:t>
      </w:r>
      <w:r>
        <w:rPr>
          <w:rFonts w:hint="eastAsia"/>
          <w:color w:val="000000"/>
          <w:szCs w:val="21"/>
        </w:rPr>
        <w:t>1</w:t>
      </w:r>
      <w:r>
        <w:rPr>
          <w:rFonts w:hint="eastAsia"/>
          <w:color w:val="000000"/>
          <w:szCs w:val="21"/>
        </w:rPr>
        <w:t>、手术范围大、时间长、污染机会增加者；</w:t>
      </w:r>
      <w:r>
        <w:rPr>
          <w:rFonts w:hint="eastAsia"/>
          <w:color w:val="000000"/>
          <w:szCs w:val="21"/>
        </w:rPr>
        <w:t>2</w:t>
      </w:r>
      <w:r>
        <w:rPr>
          <w:rFonts w:hint="eastAsia"/>
          <w:color w:val="000000"/>
          <w:szCs w:val="21"/>
        </w:rPr>
        <w:t>、手术涉及重要脏器，一旦发生感染将造成严重后果者；</w:t>
      </w:r>
      <w:r>
        <w:rPr>
          <w:rFonts w:hint="eastAsia"/>
          <w:color w:val="000000"/>
          <w:szCs w:val="21"/>
        </w:rPr>
        <w:t>3</w:t>
      </w:r>
      <w:r>
        <w:rPr>
          <w:rFonts w:hint="eastAsia"/>
          <w:color w:val="000000"/>
          <w:szCs w:val="21"/>
        </w:rPr>
        <w:t>、异物植入手术；</w:t>
      </w:r>
      <w:r>
        <w:rPr>
          <w:rFonts w:hint="eastAsia"/>
          <w:color w:val="000000"/>
          <w:szCs w:val="21"/>
        </w:rPr>
        <w:t>4</w:t>
      </w:r>
      <w:r>
        <w:rPr>
          <w:rFonts w:hint="eastAsia"/>
          <w:color w:val="000000"/>
          <w:szCs w:val="21"/>
        </w:rPr>
        <w:t>高龄或免疫功能低下者等高危人群。</w:t>
      </w:r>
    </w:p>
    <w:p w:rsidR="0079502E" w:rsidRDefault="0079502E" w:rsidP="0079502E">
      <w:pPr>
        <w:ind w:firstLineChars="200" w:firstLine="420"/>
        <w:rPr>
          <w:rFonts w:hint="eastAsia"/>
          <w:color w:val="000000"/>
          <w:szCs w:val="21"/>
        </w:rPr>
      </w:pPr>
      <w:r>
        <w:rPr>
          <w:rFonts w:hint="eastAsia"/>
          <w:color w:val="000000"/>
          <w:szCs w:val="21"/>
        </w:rPr>
        <w:t>（二）清洁一污染手术：上、下呼吸遣、三下消化道、泌屎生殖道手术，或经以上器官的手术，由于手术部位存在大量人体寄生菌群，手术时可能污染手术野导致感染．故此类手术需预防用抗菌药物。</w:t>
      </w:r>
    </w:p>
    <w:p w:rsidR="0079502E" w:rsidRDefault="0079502E" w:rsidP="0079502E">
      <w:pPr>
        <w:ind w:firstLineChars="200" w:firstLine="420"/>
        <w:rPr>
          <w:rFonts w:hint="eastAsia"/>
          <w:color w:val="000000"/>
          <w:szCs w:val="21"/>
        </w:rPr>
      </w:pPr>
      <w:r>
        <w:rPr>
          <w:rFonts w:hint="eastAsia"/>
          <w:color w:val="000000"/>
          <w:szCs w:val="21"/>
        </w:rPr>
        <w:t>（三）污染手不：由于胃肠道、尿路、胆道体液溢出或开放性创伤未经扩创等已造成手术野严重污染的手术。此类手术需预防用抗菌药物。术前己存在细菌感染的手术．属抗菌药物治疗性应用，不属于预防应用范畴。</w:t>
      </w:r>
    </w:p>
    <w:p w:rsidR="0079502E" w:rsidRDefault="0079502E" w:rsidP="0079502E">
      <w:pPr>
        <w:ind w:firstLineChars="200" w:firstLine="420"/>
        <w:rPr>
          <w:rFonts w:hint="eastAsia"/>
          <w:color w:val="000000"/>
          <w:szCs w:val="21"/>
        </w:rPr>
      </w:pPr>
      <w:r>
        <w:rPr>
          <w:rFonts w:hint="eastAsia"/>
          <w:color w:val="000000"/>
          <w:szCs w:val="21"/>
        </w:rPr>
        <w:t>三、手术预防用抗菌药的选择与给药方法：</w:t>
      </w:r>
    </w:p>
    <w:p w:rsidR="0079502E" w:rsidRDefault="0079502E" w:rsidP="0079502E">
      <w:pPr>
        <w:ind w:firstLineChars="200" w:firstLine="420"/>
        <w:rPr>
          <w:rFonts w:hint="eastAsia"/>
          <w:color w:val="000000"/>
          <w:szCs w:val="21"/>
        </w:rPr>
      </w:pPr>
      <w:r>
        <w:rPr>
          <w:rFonts w:hint="eastAsia"/>
          <w:color w:val="000000"/>
          <w:szCs w:val="21"/>
        </w:rPr>
        <w:t>（一）抗菌药的选择预防目的而定：</w:t>
      </w:r>
      <w:r>
        <w:rPr>
          <w:rFonts w:hint="eastAsia"/>
          <w:color w:val="000000"/>
          <w:szCs w:val="21"/>
        </w:rPr>
        <w:t>1</w:t>
      </w:r>
      <w:r>
        <w:rPr>
          <w:rFonts w:hint="eastAsia"/>
          <w:color w:val="000000"/>
          <w:szCs w:val="21"/>
        </w:rPr>
        <w:t>、为预防术后切口感染，应针对金黄色葡萄球菌选用药物；</w:t>
      </w:r>
      <w:r>
        <w:rPr>
          <w:rFonts w:hint="eastAsia"/>
          <w:color w:val="000000"/>
          <w:szCs w:val="21"/>
        </w:rPr>
        <w:t>2</w:t>
      </w:r>
      <w:r>
        <w:rPr>
          <w:rFonts w:hint="eastAsia"/>
          <w:color w:val="000000"/>
          <w:szCs w:val="21"/>
        </w:rPr>
        <w:t>、预防器密，空隙感染，则需依刺手术野污染或可能污染的细菌种类选用，并参考本院细菌耐药状况选用：</w:t>
      </w:r>
      <w:r>
        <w:rPr>
          <w:rFonts w:hint="eastAsia"/>
          <w:color w:val="000000"/>
          <w:szCs w:val="21"/>
        </w:rPr>
        <w:t>3</w:t>
      </w:r>
      <w:r>
        <w:rPr>
          <w:rFonts w:hint="eastAsia"/>
          <w:color w:val="000000"/>
          <w:szCs w:val="21"/>
        </w:rPr>
        <w:t>如结肠或直肠手术前应选用对大肠埃希菌和脆弱杆菌有效地抗菌药物：</w:t>
      </w:r>
      <w:r>
        <w:rPr>
          <w:rFonts w:hint="eastAsia"/>
          <w:color w:val="000000"/>
          <w:szCs w:val="21"/>
        </w:rPr>
        <w:t>4</w:t>
      </w:r>
      <w:r>
        <w:rPr>
          <w:rFonts w:hint="eastAsia"/>
          <w:color w:val="000000"/>
          <w:szCs w:val="21"/>
        </w:rPr>
        <w:t>、选用的抗菌药物必须是疗效肯定、安全、使用方便及价格相对较低的品种。</w:t>
      </w:r>
    </w:p>
    <w:p w:rsidR="0079502E" w:rsidRDefault="0079502E" w:rsidP="0079502E">
      <w:pPr>
        <w:ind w:firstLineChars="200" w:firstLine="420"/>
        <w:rPr>
          <w:rFonts w:hint="eastAsia"/>
          <w:color w:val="000000"/>
          <w:szCs w:val="21"/>
        </w:rPr>
      </w:pPr>
      <w:r>
        <w:rPr>
          <w:rFonts w:hint="eastAsia"/>
          <w:color w:val="000000"/>
          <w:szCs w:val="21"/>
        </w:rPr>
        <w:t>（二）给药方法：手术前</w:t>
      </w:r>
      <w:r>
        <w:rPr>
          <w:rFonts w:hint="eastAsia"/>
          <w:color w:val="000000"/>
          <w:szCs w:val="21"/>
        </w:rPr>
        <w:t>0.5</w:t>
      </w:r>
      <w:r>
        <w:rPr>
          <w:rFonts w:hint="eastAsia"/>
          <w:color w:val="000000"/>
          <w:szCs w:val="21"/>
        </w:rPr>
        <w:t>—</w:t>
      </w:r>
      <w:r>
        <w:rPr>
          <w:rFonts w:hint="eastAsia"/>
          <w:color w:val="000000"/>
          <w:szCs w:val="21"/>
        </w:rPr>
        <w:t>2</w:t>
      </w:r>
      <w:r>
        <w:rPr>
          <w:rFonts w:hint="eastAsia"/>
          <w:color w:val="000000"/>
          <w:szCs w:val="21"/>
        </w:rPr>
        <w:t>小时内给药，或麻醉开始时给药（静脉给药在手术前</w:t>
      </w:r>
      <w:r>
        <w:rPr>
          <w:rFonts w:hint="eastAsia"/>
          <w:color w:val="000000"/>
          <w:szCs w:val="21"/>
        </w:rPr>
        <w:t>0 5</w:t>
      </w:r>
      <w:r>
        <w:rPr>
          <w:rFonts w:hint="eastAsia"/>
          <w:color w:val="000000"/>
          <w:szCs w:val="21"/>
        </w:rPr>
        <w:t>小时，肌注在术前</w:t>
      </w:r>
      <w:r>
        <w:rPr>
          <w:rFonts w:hint="eastAsia"/>
          <w:color w:val="000000"/>
          <w:szCs w:val="21"/>
        </w:rPr>
        <w:t>0.5</w:t>
      </w:r>
      <w:r>
        <w:rPr>
          <w:rFonts w:hint="eastAsia"/>
          <w:color w:val="000000"/>
          <w:szCs w:val="21"/>
        </w:rPr>
        <w:t>—</w:t>
      </w:r>
      <w:r>
        <w:rPr>
          <w:rFonts w:hint="eastAsia"/>
          <w:color w:val="000000"/>
          <w:szCs w:val="21"/>
        </w:rPr>
        <w:t>1</w:t>
      </w:r>
      <w:r>
        <w:rPr>
          <w:rFonts w:hint="eastAsia"/>
          <w:color w:val="000000"/>
          <w:szCs w:val="21"/>
        </w:rPr>
        <w:t>小时），使手术切口暴露时局部组组中已达到是以杀灭手术过程中污染手术野细菌的药物浓度。如果手术时间超过</w:t>
      </w:r>
      <w:r>
        <w:rPr>
          <w:rFonts w:hint="eastAsia"/>
          <w:color w:val="000000"/>
          <w:szCs w:val="21"/>
        </w:rPr>
        <w:t>3</w:t>
      </w:r>
      <w:r>
        <w:rPr>
          <w:rFonts w:hint="eastAsia"/>
          <w:color w:val="000000"/>
          <w:szCs w:val="21"/>
        </w:rPr>
        <w:t>小时或失血量大（</w:t>
      </w:r>
      <w:r>
        <w:rPr>
          <w:rFonts w:hint="eastAsia"/>
          <w:color w:val="000000"/>
          <w:szCs w:val="21"/>
        </w:rPr>
        <w:t>&gt;1500ml)</w:t>
      </w:r>
      <w:r>
        <w:rPr>
          <w:rFonts w:hint="eastAsia"/>
          <w:color w:val="000000"/>
          <w:szCs w:val="21"/>
        </w:rPr>
        <w:t>可在手术中给予第二剂（使用半衰期抗面药都除外）必要时可给第</w:t>
      </w:r>
      <w:r>
        <w:rPr>
          <w:rFonts w:hint="eastAsia"/>
          <w:color w:val="000000"/>
          <w:szCs w:val="21"/>
        </w:rPr>
        <w:t>3</w:t>
      </w:r>
      <w:r>
        <w:rPr>
          <w:rFonts w:hint="eastAsia"/>
          <w:color w:val="000000"/>
          <w:szCs w:val="21"/>
        </w:rPr>
        <w:t>剂。抗菌药的有效覆盖时间应包括整个手术过程和手术结束后</w:t>
      </w:r>
      <w:r>
        <w:rPr>
          <w:rFonts w:hint="eastAsia"/>
          <w:color w:val="000000"/>
          <w:szCs w:val="21"/>
        </w:rPr>
        <w:t>4</w:t>
      </w:r>
      <w:r>
        <w:rPr>
          <w:rFonts w:hint="eastAsia"/>
          <w:color w:val="000000"/>
          <w:szCs w:val="21"/>
        </w:rPr>
        <w:t>小时清洁；清洁手术者预防用药时间不超过</w:t>
      </w:r>
      <w:r>
        <w:rPr>
          <w:rFonts w:hint="eastAsia"/>
          <w:color w:val="000000"/>
          <w:szCs w:val="21"/>
        </w:rPr>
        <w:t>24</w:t>
      </w:r>
      <w:r>
        <w:rPr>
          <w:rFonts w:hint="eastAsia"/>
          <w:color w:val="000000"/>
          <w:szCs w:val="21"/>
        </w:rPr>
        <w:t>小时，手术时间较短（＜</w:t>
      </w:r>
      <w:r>
        <w:rPr>
          <w:rFonts w:hint="eastAsia"/>
          <w:color w:val="000000"/>
          <w:szCs w:val="21"/>
        </w:rPr>
        <w:t>2</w:t>
      </w:r>
      <w:r>
        <w:rPr>
          <w:rFonts w:hint="eastAsia"/>
          <w:color w:val="000000"/>
          <w:szCs w:val="21"/>
        </w:rPr>
        <w:t>小时）的清洁手术，术前用药一剂即可，个别情况可延长至</w:t>
      </w:r>
      <w:r>
        <w:rPr>
          <w:rFonts w:hint="eastAsia"/>
          <w:color w:val="000000"/>
          <w:szCs w:val="21"/>
        </w:rPr>
        <w:t>48</w:t>
      </w:r>
      <w:r>
        <w:rPr>
          <w:rFonts w:hint="eastAsia"/>
          <w:color w:val="000000"/>
          <w:szCs w:val="21"/>
        </w:rPr>
        <w:t>小时；清洁污染手术者，手术时预防用药亦为</w:t>
      </w:r>
      <w:r>
        <w:rPr>
          <w:rFonts w:hint="eastAsia"/>
          <w:color w:val="000000"/>
          <w:szCs w:val="21"/>
        </w:rPr>
        <w:t>24</w:t>
      </w:r>
      <w:r>
        <w:rPr>
          <w:rFonts w:hint="eastAsia"/>
          <w:color w:val="000000"/>
          <w:szCs w:val="21"/>
        </w:rPr>
        <w:t>小时。必要时延长至</w:t>
      </w:r>
      <w:r>
        <w:rPr>
          <w:rFonts w:hint="eastAsia"/>
          <w:color w:val="000000"/>
          <w:szCs w:val="21"/>
        </w:rPr>
        <w:t xml:space="preserve"> 48</w:t>
      </w:r>
      <w:r>
        <w:rPr>
          <w:rFonts w:hint="eastAsia"/>
          <w:color w:val="000000"/>
          <w:szCs w:val="21"/>
        </w:rPr>
        <w:t>小时；污染手术科依据患者情</w:t>
      </w:r>
      <w:r>
        <w:rPr>
          <w:rFonts w:hint="eastAsia"/>
          <w:color w:val="000000"/>
          <w:szCs w:val="21"/>
        </w:rPr>
        <w:lastRenderedPageBreak/>
        <w:t>况酌重延长。对手术前已存在感染者，抗菌药物使用应按质量性应用而定。</w:t>
      </w:r>
    </w:p>
    <w:p w:rsidR="0079502E" w:rsidRDefault="0079502E" w:rsidP="0079502E">
      <w:pPr>
        <w:ind w:firstLineChars="200" w:firstLine="420"/>
        <w:rPr>
          <w:rFonts w:hint="eastAsia"/>
          <w:color w:val="000000"/>
          <w:szCs w:val="21"/>
        </w:rPr>
      </w:pPr>
      <w:r>
        <w:rPr>
          <w:rFonts w:hint="eastAsia"/>
          <w:color w:val="000000"/>
          <w:szCs w:val="21"/>
        </w:rPr>
        <w:t>（三）手术时抗菌药物术前给药需在皮肤（黏膜）、切开前</w:t>
      </w:r>
      <w:r>
        <w:rPr>
          <w:rFonts w:hint="eastAsia"/>
          <w:color w:val="000000"/>
          <w:szCs w:val="21"/>
        </w:rPr>
        <w:t>0.5-1</w:t>
      </w:r>
      <w:r>
        <w:rPr>
          <w:rFonts w:hint="eastAsia"/>
          <w:color w:val="000000"/>
          <w:szCs w:val="21"/>
        </w:rPr>
        <w:t>小时——以保证在发生细菌污染之前血清及组中的药物已达到有效浓度，应在手术室给药。</w:t>
      </w:r>
    </w:p>
    <w:p w:rsidR="0079502E" w:rsidRDefault="0079502E" w:rsidP="0079502E">
      <w:pPr>
        <w:ind w:firstLineChars="200" w:firstLine="420"/>
        <w:rPr>
          <w:rFonts w:hint="eastAsia"/>
          <w:color w:val="000000"/>
          <w:szCs w:val="21"/>
        </w:rPr>
      </w:pPr>
      <w:r>
        <w:rPr>
          <w:rFonts w:hint="eastAsia"/>
          <w:color w:val="000000"/>
          <w:szCs w:val="21"/>
        </w:rPr>
        <w:t>（四）静脉给药需</w:t>
      </w:r>
      <w:r>
        <w:rPr>
          <w:rFonts w:hint="eastAsia"/>
          <w:color w:val="000000"/>
          <w:szCs w:val="21"/>
        </w:rPr>
        <w:t>30min</w:t>
      </w:r>
      <w:r>
        <w:rPr>
          <w:rFonts w:hint="eastAsia"/>
          <w:color w:val="000000"/>
          <w:szCs w:val="21"/>
        </w:rPr>
        <w:t>内滴完，不宜放在大瓶内滴入，否则不能达到有效药浓度。</w:t>
      </w:r>
    </w:p>
    <w:p w:rsidR="0079502E" w:rsidRDefault="0079502E" w:rsidP="0079502E">
      <w:pPr>
        <w:ind w:firstLineChars="200" w:firstLine="420"/>
        <w:rPr>
          <w:rFonts w:hint="eastAsia"/>
          <w:color w:val="000000"/>
          <w:szCs w:val="21"/>
        </w:rPr>
      </w:pPr>
      <w:r>
        <w:rPr>
          <w:rFonts w:hint="eastAsia"/>
          <w:color w:val="000000"/>
          <w:szCs w:val="21"/>
        </w:rPr>
        <w:t>（五）手术中发现已存在细菌性感染的可能，手术后应继续用药直至感染清除。</w:t>
      </w:r>
    </w:p>
    <w:p w:rsidR="0079502E" w:rsidRDefault="0079502E" w:rsidP="0079502E">
      <w:pPr>
        <w:ind w:firstLineChars="200" w:firstLine="420"/>
        <w:rPr>
          <w:rFonts w:hint="eastAsia"/>
          <w:color w:val="000000"/>
          <w:szCs w:val="21"/>
        </w:rPr>
      </w:pPr>
      <w:r>
        <w:rPr>
          <w:rFonts w:hint="eastAsia"/>
          <w:color w:val="000000"/>
          <w:szCs w:val="21"/>
        </w:rPr>
        <w:t>四、医院围术期抗菌药物预防应用督查办法：</w:t>
      </w:r>
    </w:p>
    <w:p w:rsidR="0079502E" w:rsidRDefault="0079502E" w:rsidP="0079502E">
      <w:pPr>
        <w:ind w:firstLineChars="200" w:firstLine="420"/>
        <w:rPr>
          <w:rFonts w:hint="eastAsia"/>
          <w:color w:val="000000"/>
          <w:szCs w:val="21"/>
        </w:rPr>
      </w:pPr>
      <w:r>
        <w:rPr>
          <w:rFonts w:hint="eastAsia"/>
          <w:color w:val="000000"/>
          <w:szCs w:val="21"/>
        </w:rPr>
        <w:t>（一）按照卫生部、厅相关要求，由医院感染办对出院病人围术期抗菌药物预防性应用进行调查，数据上报医院抗菌药物领导小组，通过院周会、科主任会、或直接通知科主任进行反馈、督促、整改、执行。</w:t>
      </w:r>
    </w:p>
    <w:p w:rsidR="0079502E" w:rsidRDefault="0079502E" w:rsidP="0079502E">
      <w:pPr>
        <w:ind w:firstLineChars="200" w:firstLine="420"/>
        <w:rPr>
          <w:rFonts w:hint="eastAsia"/>
          <w:color w:val="000000"/>
          <w:szCs w:val="21"/>
        </w:rPr>
      </w:pPr>
      <w:r>
        <w:rPr>
          <w:rFonts w:hint="eastAsia"/>
          <w:color w:val="000000"/>
          <w:szCs w:val="21"/>
        </w:rPr>
        <w:t>（二）调查科室：全部手术科室，包括手术室。</w:t>
      </w:r>
    </w:p>
    <w:p w:rsidR="0079502E" w:rsidRDefault="0079502E" w:rsidP="0079502E">
      <w:pPr>
        <w:ind w:firstLineChars="200" w:firstLine="420"/>
        <w:rPr>
          <w:rFonts w:hint="eastAsia"/>
          <w:color w:val="000000"/>
          <w:szCs w:val="21"/>
        </w:rPr>
      </w:pPr>
      <w:r>
        <w:rPr>
          <w:rFonts w:hint="eastAsia"/>
          <w:color w:val="000000"/>
          <w:szCs w:val="21"/>
        </w:rPr>
        <w:t>（三）每年进行</w:t>
      </w:r>
      <w:r>
        <w:rPr>
          <w:rFonts w:hint="eastAsia"/>
          <w:color w:val="000000"/>
          <w:szCs w:val="21"/>
        </w:rPr>
        <w:t>4</w:t>
      </w:r>
      <w:r>
        <w:rPr>
          <w:rFonts w:hint="eastAsia"/>
          <w:color w:val="000000"/>
          <w:szCs w:val="21"/>
        </w:rPr>
        <w:t>次抽查。</w:t>
      </w:r>
    </w:p>
    <w:p w:rsidR="0079502E" w:rsidRDefault="0079502E" w:rsidP="0079502E">
      <w:pPr>
        <w:ind w:firstLineChars="200" w:firstLine="420"/>
        <w:rPr>
          <w:rFonts w:hint="eastAsia"/>
          <w:color w:val="000000"/>
          <w:szCs w:val="21"/>
        </w:rPr>
      </w:pPr>
      <w:r>
        <w:rPr>
          <w:rFonts w:hint="eastAsia"/>
          <w:color w:val="000000"/>
          <w:szCs w:val="21"/>
        </w:rPr>
        <w:t>（四）调查项目：抗菌药物使用种类、术前使用时间、围术期预防用药总天数。超出使用各类、时机和总天数的原因。</w:t>
      </w:r>
    </w:p>
    <w:p w:rsidR="0079502E" w:rsidRDefault="0079502E" w:rsidP="0079502E">
      <w:pPr>
        <w:ind w:firstLineChars="200" w:firstLine="420"/>
        <w:rPr>
          <w:rFonts w:hint="eastAsia"/>
          <w:color w:val="000000"/>
          <w:szCs w:val="21"/>
        </w:rPr>
      </w:pPr>
      <w:r>
        <w:rPr>
          <w:rFonts w:hint="eastAsia"/>
          <w:color w:val="000000"/>
          <w:szCs w:val="21"/>
        </w:rPr>
        <w:t>（五）对两次以上整改不利者，纳入绩效考核。</w:t>
      </w:r>
    </w:p>
    <w:p w:rsidR="0079502E" w:rsidRDefault="0079502E" w:rsidP="0079502E">
      <w:pPr>
        <w:pStyle w:val="2"/>
        <w:jc w:val="center"/>
        <w:rPr>
          <w:rFonts w:ascii="华文仿宋" w:eastAsia="华文仿宋" w:hAnsi="华文仿宋" w:cs="华文仿宋" w:hint="eastAsia"/>
          <w:sz w:val="28"/>
          <w:szCs w:val="28"/>
        </w:rPr>
      </w:pPr>
      <w:bookmarkStart w:id="5" w:name="_Toc345403620"/>
      <w:r>
        <w:rPr>
          <w:rFonts w:ascii="华文仿宋" w:eastAsia="华文仿宋" w:hAnsi="华文仿宋" w:cs="华文仿宋" w:hint="eastAsia"/>
          <w:sz w:val="28"/>
          <w:szCs w:val="28"/>
        </w:rPr>
        <w:t>医用高值耗材采购制度</w:t>
      </w:r>
      <w:bookmarkEnd w:id="5"/>
    </w:p>
    <w:p w:rsidR="0079502E" w:rsidRDefault="0079502E" w:rsidP="0079502E">
      <w:pPr>
        <w:ind w:firstLineChars="200" w:firstLine="420"/>
        <w:rPr>
          <w:rFonts w:hint="eastAsia"/>
          <w:color w:val="000000"/>
          <w:szCs w:val="21"/>
        </w:rPr>
      </w:pPr>
      <w:r>
        <w:rPr>
          <w:rFonts w:hint="eastAsia"/>
          <w:color w:val="000000"/>
          <w:szCs w:val="21"/>
        </w:rPr>
        <w:t xml:space="preserve"> </w:t>
      </w:r>
      <w:r>
        <w:rPr>
          <w:rFonts w:hint="eastAsia"/>
          <w:color w:val="000000"/>
          <w:szCs w:val="21"/>
        </w:rPr>
        <w:t>一、严格执行《医疗器械监督管理条例》、《</w:t>
      </w:r>
      <w:r>
        <w:rPr>
          <w:rFonts w:hint="eastAsia"/>
          <w:color w:val="000000"/>
          <w:szCs w:val="21"/>
        </w:rPr>
        <w:t>-</w:t>
      </w:r>
      <w:r>
        <w:rPr>
          <w:rFonts w:hint="eastAsia"/>
          <w:color w:val="000000"/>
          <w:szCs w:val="21"/>
        </w:rPr>
        <w:t>次性使用无菌医疗器械监督管理办法》及政府集中采购规定，原则按照云南省省级政府羹中招标中标目录进行采购。</w:t>
      </w:r>
    </w:p>
    <w:p w:rsidR="0079502E" w:rsidRDefault="0079502E" w:rsidP="0079502E">
      <w:pPr>
        <w:ind w:firstLineChars="200" w:firstLine="420"/>
        <w:rPr>
          <w:rFonts w:hint="eastAsia"/>
          <w:color w:val="000000"/>
          <w:szCs w:val="21"/>
        </w:rPr>
      </w:pPr>
      <w:r>
        <w:rPr>
          <w:rFonts w:hint="eastAsia"/>
          <w:color w:val="000000"/>
          <w:szCs w:val="21"/>
        </w:rPr>
        <w:t>二、科室新业务需求，云南省省级政府集中招标中标目录中没有所需高值耗材科室提出申请报设备科，经设备科、院领导亩核批准后，设备科组织耗高值材使用科室医务科、感染办公室、纪监审室共同调研后与供货商谈判、备案执行。</w:t>
      </w:r>
    </w:p>
    <w:p w:rsidR="0079502E" w:rsidRDefault="0079502E" w:rsidP="0079502E">
      <w:pPr>
        <w:ind w:firstLineChars="200" w:firstLine="420"/>
        <w:rPr>
          <w:rFonts w:hint="eastAsia"/>
          <w:color w:val="000000"/>
          <w:szCs w:val="21"/>
        </w:rPr>
      </w:pPr>
      <w:r>
        <w:rPr>
          <w:rFonts w:hint="eastAsia"/>
          <w:color w:val="000000"/>
          <w:szCs w:val="21"/>
        </w:rPr>
        <w:t>三、购置高值耗材必须审核供货商资质证件原件，审核所供高值耗材医疗器械注册证，索取供货商资质证件原件复印件厦高值耗材医疗器械注册证复印件备案，保证资质证件在有效期内</w:t>
      </w:r>
    </w:p>
    <w:p w:rsidR="0079502E" w:rsidRDefault="0079502E" w:rsidP="0079502E">
      <w:pPr>
        <w:ind w:firstLineChars="200" w:firstLine="420"/>
        <w:rPr>
          <w:rFonts w:hint="eastAsia"/>
          <w:color w:val="000000"/>
          <w:szCs w:val="21"/>
        </w:rPr>
      </w:pPr>
      <w:r>
        <w:rPr>
          <w:rFonts w:hint="eastAsia"/>
          <w:color w:val="000000"/>
          <w:szCs w:val="21"/>
        </w:rPr>
        <w:t>四、高值耗材的采购和使用应坚持先审批、后采购、再使用的流程。</w:t>
      </w:r>
    </w:p>
    <w:p w:rsidR="0079502E" w:rsidRDefault="0079502E" w:rsidP="0079502E">
      <w:pPr>
        <w:ind w:firstLineChars="200" w:firstLine="420"/>
        <w:rPr>
          <w:rFonts w:hint="eastAsia"/>
          <w:color w:val="000000"/>
          <w:szCs w:val="21"/>
        </w:rPr>
      </w:pPr>
      <w:r>
        <w:rPr>
          <w:rFonts w:hint="eastAsia"/>
          <w:color w:val="000000"/>
          <w:szCs w:val="21"/>
        </w:rPr>
        <w:t>五、供货商接到购货通知后在医院规定要求的时间内及时送货到设备科库房，库房管理人员进行验收登记，对货物的唯一性标识如条形码或统一编码、进口产品报关单等，应粘贴于对应的“凤庆县中医医院装备医疗器械申请表”背面。</w:t>
      </w:r>
    </w:p>
    <w:p w:rsidR="0079502E" w:rsidRDefault="0079502E" w:rsidP="0079502E">
      <w:pPr>
        <w:ind w:firstLineChars="200" w:firstLine="420"/>
        <w:rPr>
          <w:rFonts w:hint="eastAsia"/>
          <w:color w:val="000000"/>
          <w:szCs w:val="21"/>
        </w:rPr>
      </w:pPr>
      <w:r>
        <w:rPr>
          <w:rFonts w:hint="eastAsia"/>
          <w:color w:val="000000"/>
          <w:szCs w:val="21"/>
        </w:rPr>
        <w:t>六、高值耗材单价价格不能高于云南省省级政府集中招标采购中标目录供货价，也不能高于其它同级别医院同产品供货价。</w:t>
      </w:r>
    </w:p>
    <w:p w:rsidR="0079502E" w:rsidRDefault="0079502E" w:rsidP="0079502E">
      <w:pPr>
        <w:ind w:firstLineChars="200" w:firstLine="420"/>
        <w:rPr>
          <w:rFonts w:hint="eastAsia"/>
          <w:color w:val="000000"/>
          <w:szCs w:val="21"/>
        </w:rPr>
      </w:pPr>
      <w:r>
        <w:rPr>
          <w:rFonts w:hint="eastAsia"/>
          <w:color w:val="000000"/>
          <w:szCs w:val="21"/>
        </w:rPr>
        <w:t>七、手术中急需使用备案目录中已有的高值耗材手术医生先购置使用，后补办审批手续：</w:t>
      </w:r>
    </w:p>
    <w:p w:rsidR="0079502E" w:rsidRDefault="0079502E" w:rsidP="0079502E">
      <w:pPr>
        <w:ind w:firstLineChars="200" w:firstLine="420"/>
        <w:rPr>
          <w:rFonts w:hint="eastAsia"/>
          <w:color w:val="000000"/>
          <w:szCs w:val="21"/>
        </w:rPr>
      </w:pPr>
      <w:r>
        <w:rPr>
          <w:rFonts w:hint="eastAsia"/>
          <w:color w:val="000000"/>
          <w:szCs w:val="21"/>
        </w:rPr>
        <w:t>八、科室不得擅自购置高值耗材，未经医院许可在保证高值耗材质量的前提下科室不得私自试用高值耗材。</w:t>
      </w:r>
    </w:p>
    <w:p w:rsidR="0079502E" w:rsidRDefault="0079502E" w:rsidP="0079502E">
      <w:pPr>
        <w:pStyle w:val="2"/>
        <w:jc w:val="center"/>
        <w:rPr>
          <w:rFonts w:ascii="华文仿宋" w:eastAsia="华文仿宋" w:hAnsi="华文仿宋" w:cs="华文仿宋" w:hint="eastAsia"/>
          <w:sz w:val="28"/>
          <w:szCs w:val="28"/>
        </w:rPr>
      </w:pPr>
      <w:bookmarkStart w:id="6" w:name="_Toc345403621"/>
      <w:r>
        <w:rPr>
          <w:rFonts w:ascii="华文仿宋" w:eastAsia="华文仿宋" w:hAnsi="华文仿宋" w:cs="华文仿宋" w:hint="eastAsia"/>
          <w:sz w:val="28"/>
          <w:szCs w:val="28"/>
        </w:rPr>
        <w:t>医用高值耗材管理制度</w:t>
      </w:r>
      <w:bookmarkEnd w:id="6"/>
    </w:p>
    <w:p w:rsidR="0079502E" w:rsidRDefault="0079502E" w:rsidP="0079502E">
      <w:pPr>
        <w:ind w:firstLineChars="200" w:firstLine="420"/>
        <w:rPr>
          <w:rFonts w:hint="eastAsia"/>
          <w:color w:val="000000"/>
          <w:szCs w:val="21"/>
        </w:rPr>
      </w:pPr>
      <w:r>
        <w:rPr>
          <w:rFonts w:hint="eastAsia"/>
          <w:color w:val="000000"/>
          <w:szCs w:val="21"/>
        </w:rPr>
        <w:t xml:space="preserve"> </w:t>
      </w:r>
      <w:r>
        <w:rPr>
          <w:rFonts w:hint="eastAsia"/>
          <w:color w:val="000000"/>
          <w:szCs w:val="21"/>
        </w:rPr>
        <w:t>一、高值耗材是指医用钢板，心脏瓣膜、人工关节、血管支架的，心脏起搏器、人工晶体、各种补片、生物胶、球囊等</w:t>
      </w:r>
      <w:r>
        <w:rPr>
          <w:rFonts w:hint="eastAsia"/>
          <w:color w:val="000000"/>
          <w:szCs w:val="21"/>
        </w:rPr>
        <w:t>III</w:t>
      </w:r>
      <w:r>
        <w:rPr>
          <w:rFonts w:hint="eastAsia"/>
          <w:color w:val="000000"/>
          <w:szCs w:val="21"/>
        </w:rPr>
        <w:t>类医疗产品。它是植入人体，用于支持、维持生命，对人体具有潜在危险，其安全性、有效性必须严格控制的医疗器械。</w:t>
      </w:r>
    </w:p>
    <w:p w:rsidR="0079502E" w:rsidRDefault="0079502E" w:rsidP="0079502E">
      <w:pPr>
        <w:ind w:firstLineChars="200" w:firstLine="420"/>
        <w:rPr>
          <w:rFonts w:hint="eastAsia"/>
          <w:color w:val="000000"/>
          <w:szCs w:val="21"/>
        </w:rPr>
      </w:pPr>
      <w:r>
        <w:rPr>
          <w:rFonts w:hint="eastAsia"/>
          <w:color w:val="000000"/>
          <w:szCs w:val="21"/>
        </w:rPr>
        <w:t>二、高值耗材使用科室根据临床的实际需要，提前送交申请计划，根据患者病情填写“凤庆县中医医院装备医疗器械申请表”。申请表必须写清产品名称、生产厂商、规格型号、患者姓名、地址、联系电话、住院号、诊断病情、手术医生姓名、手术日期、并由科室主任签</w:t>
      </w:r>
      <w:r>
        <w:rPr>
          <w:rFonts w:hint="eastAsia"/>
          <w:color w:val="000000"/>
          <w:szCs w:val="21"/>
        </w:rPr>
        <w:lastRenderedPageBreak/>
        <w:t>字。</w:t>
      </w:r>
    </w:p>
    <w:p w:rsidR="0079502E" w:rsidRDefault="0079502E" w:rsidP="0079502E">
      <w:pPr>
        <w:ind w:firstLineChars="200" w:firstLine="420"/>
        <w:rPr>
          <w:rFonts w:hint="eastAsia"/>
          <w:color w:val="000000"/>
          <w:szCs w:val="21"/>
        </w:rPr>
      </w:pPr>
      <w:r>
        <w:rPr>
          <w:rFonts w:hint="eastAsia"/>
          <w:color w:val="000000"/>
          <w:szCs w:val="21"/>
        </w:rPr>
        <w:t>三、库房管理人员严格按照国家对高值耗材的管理要求，逐一进行核实，登记生产厂家、供应商、产品名称、详细清单、产品的检验报告和报关单、价格、生产日期及失效期和企业确认的可追溯的唯一性标识，并对唯一性标识的内容、位置、标识方法及可追溯的程厘序做出记录，做到每件高值耗材可追溯，相关赍料由设备科整理并归档。</w:t>
      </w:r>
    </w:p>
    <w:p w:rsidR="0079502E" w:rsidRDefault="0079502E" w:rsidP="0079502E">
      <w:pPr>
        <w:ind w:firstLineChars="200" w:firstLine="420"/>
        <w:rPr>
          <w:rFonts w:hint="eastAsia"/>
          <w:color w:val="000000"/>
          <w:szCs w:val="21"/>
        </w:rPr>
      </w:pPr>
      <w:r>
        <w:rPr>
          <w:rFonts w:hint="eastAsia"/>
          <w:color w:val="000000"/>
          <w:szCs w:val="21"/>
        </w:rPr>
        <w:t>四、使用时由手术室派专人负责领取，将其送往手术室进行消毒，以备手术时使用。手术室有责任对所送高值耗材数量等手续进行核实，再次验货，以防在材料消毒前的货物调换。使用后的植入人体高值耗材的相关标识载入患者病历。</w:t>
      </w:r>
    </w:p>
    <w:p w:rsidR="0079502E" w:rsidRDefault="0079502E" w:rsidP="0079502E">
      <w:pPr>
        <w:ind w:firstLineChars="200" w:firstLine="420"/>
        <w:rPr>
          <w:rFonts w:hint="eastAsia"/>
          <w:color w:val="000000"/>
          <w:szCs w:val="21"/>
        </w:rPr>
      </w:pPr>
      <w:r>
        <w:rPr>
          <w:rFonts w:hint="eastAsia"/>
          <w:color w:val="000000"/>
          <w:szCs w:val="21"/>
        </w:rPr>
        <w:t>五、一旦医疗器械不良事件发生，要按照国家有关规定，依照有关程序及时上报相关部门。</w:t>
      </w:r>
    </w:p>
    <w:p w:rsidR="0079502E" w:rsidRDefault="0079502E" w:rsidP="0079502E">
      <w:pPr>
        <w:ind w:firstLineChars="200" w:firstLine="420"/>
        <w:rPr>
          <w:rFonts w:hint="eastAsia"/>
          <w:color w:val="000000"/>
          <w:szCs w:val="21"/>
        </w:rPr>
      </w:pPr>
      <w:r>
        <w:rPr>
          <w:rFonts w:hint="eastAsia"/>
          <w:color w:val="000000"/>
          <w:szCs w:val="21"/>
        </w:rPr>
        <w:t>六、高值耗材进入医院使用必须有使用记录，监督检查记录。</w:t>
      </w:r>
    </w:p>
    <w:p w:rsidR="007D4192" w:rsidRDefault="007D4192"/>
    <w:sectPr w:rsidR="007D4192" w:rsidSect="007D41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japaneseCounting"/>
      <w:lvlText w:val="（%1）"/>
      <w:lvlJc w:val="left"/>
      <w:pPr>
        <w:tabs>
          <w:tab w:val="num" w:pos="855"/>
        </w:tabs>
        <w:ind w:left="855" w:hanging="85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1"/>
      <w:numFmt w:val="none"/>
      <w:lvlText w:val="一、"/>
      <w:lvlJc w:val="left"/>
      <w:pPr>
        <w:tabs>
          <w:tab w:val="num" w:pos="720"/>
        </w:tabs>
        <w:ind w:left="720" w:hanging="720"/>
      </w:pPr>
      <w:rPr>
        <w:rFonts w:hint="default"/>
      </w:rPr>
    </w:lvl>
    <w:lvl w:ilvl="1">
      <w:start w:val="1"/>
      <w:numFmt w:val="japaneseCounting"/>
      <w:lvlText w:val="（%2）"/>
      <w:lvlJc w:val="left"/>
      <w:pPr>
        <w:tabs>
          <w:tab w:val="num" w:pos="1245"/>
        </w:tabs>
        <w:ind w:left="1245" w:hanging="82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02E"/>
    <w:rsid w:val="0079502E"/>
    <w:rsid w:val="007D41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2E"/>
    <w:pPr>
      <w:widowControl w:val="0"/>
      <w:jc w:val="both"/>
    </w:pPr>
    <w:rPr>
      <w:rFonts w:ascii="Times New Roman" w:eastAsia="宋体" w:hAnsi="Times New Roman" w:cs="Times New Roman"/>
      <w:szCs w:val="24"/>
    </w:rPr>
  </w:style>
  <w:style w:type="paragraph" w:styleId="1">
    <w:name w:val="heading 1"/>
    <w:basedOn w:val="a"/>
    <w:next w:val="a"/>
    <w:link w:val="1Char"/>
    <w:qFormat/>
    <w:rsid w:val="0079502E"/>
    <w:pPr>
      <w:keepNext/>
      <w:keepLines/>
      <w:spacing w:before="340" w:after="330" w:line="576" w:lineRule="auto"/>
      <w:outlineLvl w:val="0"/>
    </w:pPr>
    <w:rPr>
      <w:b/>
      <w:kern w:val="44"/>
      <w:sz w:val="44"/>
    </w:rPr>
  </w:style>
  <w:style w:type="paragraph" w:styleId="2">
    <w:name w:val="heading 2"/>
    <w:basedOn w:val="a"/>
    <w:next w:val="a"/>
    <w:link w:val="2Char"/>
    <w:qFormat/>
    <w:rsid w:val="0079502E"/>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502E"/>
    <w:rPr>
      <w:rFonts w:ascii="Times New Roman" w:eastAsia="宋体" w:hAnsi="Times New Roman" w:cs="Times New Roman"/>
      <w:b/>
      <w:kern w:val="44"/>
      <w:sz w:val="44"/>
      <w:szCs w:val="24"/>
    </w:rPr>
  </w:style>
  <w:style w:type="character" w:customStyle="1" w:styleId="2Char">
    <w:name w:val="标题 2 Char"/>
    <w:basedOn w:val="a0"/>
    <w:link w:val="2"/>
    <w:rsid w:val="0079502E"/>
    <w:rPr>
      <w:rFonts w:ascii="Arial" w:eastAsia="黑体" w:hAnsi="Arial" w:cs="Times New Roman"/>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2015-01-16T07:32:00Z</dcterms:created>
  <dcterms:modified xsi:type="dcterms:W3CDTF">2015-01-16T07:32:00Z</dcterms:modified>
</cp:coreProperties>
</file>