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E4D5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inorEastAsia" w:hAnsiTheme="minorEastAsia" w:eastAsiaTheme="minorEastAsia"/>
          <w:color w:val="auto"/>
          <w:kern w:val="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附件2：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>采购需求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  <w:lang w:val="en-US" w:eastAsia="zh-CN"/>
        </w:rPr>
        <w:t>技术参数</w:t>
      </w:r>
    </w:p>
    <w:p w14:paraId="4752E611">
      <w:pPr>
        <w:widowControl/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b/>
          <w:bCs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auto"/>
          <w:kern w:val="0"/>
          <w:szCs w:val="21"/>
          <w:highlight w:val="none"/>
          <w:lang w:val="en-US" w:eastAsia="zh-CN"/>
        </w:rPr>
        <w:t>一标包：预算365900.00元</w:t>
      </w:r>
    </w:p>
    <w:p w14:paraId="26B232B5">
      <w:pPr>
        <w:widowControl/>
        <w:spacing w:line="360" w:lineRule="auto"/>
        <w:ind w:firstLine="422" w:firstLineChars="200"/>
        <w:jc w:val="left"/>
        <w:rPr>
          <w:rFonts w:hint="eastAsia" w:ascii="华文楷体" w:hAnsi="华文楷体" w:eastAsia="华文楷体" w:cs="华文楷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bCs w:val="0"/>
          <w:color w:val="auto"/>
          <w:kern w:val="0"/>
          <w:szCs w:val="21"/>
          <w:highlight w:val="none"/>
          <w:lang w:val="en-US" w:eastAsia="zh-CN"/>
        </w:rPr>
        <w:t>供货时限：</w:t>
      </w:r>
      <w:r>
        <w:rPr>
          <w:rFonts w:hint="eastAsia" w:ascii="华文楷体" w:hAnsi="华文楷体" w:eastAsia="华文楷体" w:cs="华文楷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合同签订后15日内，完成供货。</w:t>
      </w:r>
    </w:p>
    <w:p w14:paraId="073ED731">
      <w:pPr>
        <w:widowControl/>
        <w:spacing w:line="360" w:lineRule="auto"/>
        <w:ind w:firstLine="422" w:firstLineChars="200"/>
        <w:jc w:val="left"/>
        <w:rPr>
          <w:rFonts w:hint="default" w:asciiTheme="minorEastAsia" w:hAnsiTheme="minorEastAsia" w:eastAsiaTheme="minorEastAsia"/>
          <w:b/>
          <w:bCs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auto"/>
          <w:kern w:val="0"/>
          <w:szCs w:val="21"/>
          <w:highlight w:val="none"/>
          <w:lang w:val="en-US" w:eastAsia="zh-CN"/>
        </w:rPr>
        <w:t>设备质保期：</w:t>
      </w:r>
      <w:r>
        <w:rPr>
          <w:rFonts w:hint="eastAsia" w:ascii="华文楷体" w:hAnsi="华文楷体" w:eastAsia="华文楷体" w:cs="华文楷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以设备通过终验后开始计算，质保期</w:t>
      </w:r>
      <w:r>
        <w:rPr>
          <w:rFonts w:hint="default" w:ascii="华文楷体" w:hAnsi="华文楷体" w:eastAsia="华文楷体" w:cs="华文楷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≥</w:t>
      </w:r>
      <w:r>
        <w:rPr>
          <w:rFonts w:hint="eastAsia" w:ascii="华文楷体" w:hAnsi="华文楷体" w:eastAsia="华文楷体" w:cs="华文楷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2年。</w:t>
      </w:r>
    </w:p>
    <w:tbl>
      <w:tblPr>
        <w:tblStyle w:val="5"/>
        <w:tblW w:w="14271" w:type="dxa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91"/>
        <w:gridCol w:w="9758"/>
        <w:gridCol w:w="765"/>
        <w:gridCol w:w="667"/>
        <w:gridCol w:w="1425"/>
      </w:tblGrid>
      <w:tr w14:paraId="15BC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需求数量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</w:tr>
      <w:tr w14:paraId="2D09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磁刺激仪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一、设备用途；用于中枢神经和外周神经刺激，用于神经电生理检查。配合药物，用于心境低落、焦虑、失眠及性症状的辅助治疗。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二、功能要求及技术指标：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1.整机通过 YY/T 0994-2015 磁刺激设备行业标准；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2.整机通过电磁兼容性 EMC 测试；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3.盆底磁刺激座椅靠背角度可调，可实现坐位盆底肌刺激和躺位骶神经刺激。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4.液晶显示屏幕：≥13 英寸。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5.脉冲磁场最大磁感应强度：≥6 Tesla。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6.当脉冲频率＞1Hz 时，频率调节步长：为 1Hz； 当脉冲频率≤1Hz 时，频率调节步长：为0.01Hz。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7.脉冲上升时间：≤60μs ±10μs；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8.脉冲持续时间：340μs ±20μs；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9.磁感应强度最大变化率：40kT/s～80kT/s。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10.内置多种临床治疗方案供医生选择，包含压力性尿失禁、急迫性尿失禁、尿频尿急、尿潴留、盆腔脏器脱垂、便秘、大便失禁、慢性前列腺炎、慢性盆腔疼痛等。且所有内置方案参数可查看，也可以导入导出。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11.方案可编辑；刺激强度、频率、脉冲个数、间歇时间、串时间、串数等参数可调，供医生自定义方案；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12.患者基本信息、临床方案、诊疗记录等信息海量存储，并可实时查询、编辑及导出数据备份保存；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三、售后服务及技术培训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 采取代理商及厂家双备份的维修保养服务模式。故障响应时间；报修后半小时电话响应，48 小时内解决故障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 终身免费提供软件升级服务。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 按照医院要求进行应用和操作培训，并提供操作手册、维修说明书等。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 提供消耗品及常用备件清单及相应价格，质保期过后保证以低于市场价格供应。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 设备保修：≥2 年。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7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220000.00 </w:t>
            </w:r>
          </w:p>
        </w:tc>
      </w:tr>
      <w:tr w14:paraId="2619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生物刺激反馈仪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适用范围：对患者的体表肌电信号进行采集、分析和反馈训练，对患者的肌肉施加电刺激来恢复患者的肌肉功能障碍。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技术参数：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（一）硬件性能：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1.主机≥四通道，包含电刺激、表面肌电采集和共用参考等通道接口；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2.主机采用触控式导航面板，可单机便携工作；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3.采用蓝牙无线传输，通过蓝牙可实现主机与APP软件、生物刺激反馈软件等联合使用，实现无线生物反馈，开启多场景生物反馈评估及训练，如站立，行走，模拟爬梯等生活场景下的生物反馈训练；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4.电刺激工作时，主机屏幕上能够显示实时电流和设定电流，可分别或同时调节各个通道的电流大小；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5.双级联接口，可最多同时级联4台主机，扩展为16通道；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6.采样位数：16位；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7.测量范围：1μV～3000μV(r.m.s)；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8.最高分辨率：≤2μV(r.m.s) 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9.输出电流：0～100 mA，最小可调节步长50 µA，可实现0-600μA的微电流刺激；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10.刺激频率：0.5Hz～150Hz，最小可调节步长1Hz；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11.脉冲宽度：50μs～500ms；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12.刺激/休息时间：1s～99s可调，最小可调节步长1s；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13.可选配压力套件，进行压力评估及训练；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14.注册组成中必须包含一次性使用无菌阴道电极。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（二）软件功能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1.多种盆底肌电评估模式：一分钟评估，三分钟评估和具有国际通用标准的Glazer评估；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2.Glazer评估具有基于大数据建立的盆底常模类型，可智能解读评估报告的五种评估结果；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3.情景评估模式：采用蓝牙无线传输，可实现实际生活情景下如腹压增加时的盆底功能评估；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4.结合临床路径管理规范，以Glazer评估的结果和盆底专科病历信息的患者症状为依据，智能推荐个性化的处方治疗方案，一键开启治疗；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5.神经肌肉电刺激、肌电触发电刺激，重建中枢对盆底肌肉的控制，具有尿失禁、盆腔脏器脱垂、便秘、子宫复旧、尿潴留、肌肉酸痛等专业治疗方案；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6.肌电触发电刺激具有阈值上和阈值下两种触发方式，并且可选择手动阈值模式和自动阈值模式；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7.经皮神经电刺激具有连续刺激模式、爆发刺激模式、调频调幅刺激模式，可实现急性和慢性疼痛的缓解；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8.微电流刺激采用500ms刺激脉宽，微安级电流输出，可实现组织细胞修复，解决伤口愈合、瘢痕淡化、促进循环、淋巴水肿等问题；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9.可自定义治疗方案，并可根据用户习惯对自定义方案进行排序；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10.Kegel模版训练具有肌电和压力两种模式；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11.所有生物反馈游戏训练开始前均有一分钟的热身阶段，为患者提供盆底训练的学习过程，且热身阶段的表现作为后续训练的依据；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12.可在诊疗记录中预览评估报告，回放评估过程，快速开始评估方案、治疗方案；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13.数据统计分析功能：可汇总导出患者的诊疗记录，可分析统计医生工作量、患者治疗数据以及耗材使用情况；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14.内置微云，可实现多种以及同类多台设备上患者基本信息、诊疗记录和方案参数的实时同步；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15.支持盆底专科信息系统，可实现盆底中心数据共享、规范诊疗的电子病历系统、预约及患者排班、科室患者及工作量的统计与分析功能等；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免费质保期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☆免费质保期≥2年，自项目验收合格之日起计算。投标人可提供更优惠的质保期方案。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1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100000.00 </w:t>
            </w:r>
          </w:p>
        </w:tc>
      </w:tr>
      <w:tr w14:paraId="752B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2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电动流产吸引器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1、吸引泵：活塞泵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2、极限负压值：≥0.08MPa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3、抽气速率：≥20L/min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4、贮气瓶容量：≥2500mL，2 只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5、贮液瓶容量：≥500mL，2 只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6、噪音：≤65dB（A）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7、外形尺寸：≤400×450×850mm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8、运行模式：间歇加载连续运行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9、电器安全：Ι类设备，B 型应用部分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10、防水等级：IPX0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11、电源：AC220V±22V，50Hz±1Hz，功率≤180VA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五、主要配置：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1、主机：1 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2、脚踏开关：1 只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3、滤液器：1 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4、吸引软导管：1 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5、流产吸引管：6#、7#、8#各一支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6、空气过滤器：2 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9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49A9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输液泵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 适用符合标准的各品牌输液器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2.用户可自定义其他符合标准的输液器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 ★≥8 种输液模式可选：速度模式、时间模式、体重模式、序列模式、点滴模式、梯度模式、首剂量模式、微量模式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4．输液速度范围：0.1-1200mL/h, 最小增量为 0.01mL/h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5.触摸屏操作，全中文显示，方便快捷的人机操作界面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6.预置输液量范围：0.10-9999ml（最小增量 0.01）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7.输液精度±5%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8.KVO 速度 0.10-5.00mL/h；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 ★单个气泡：气泡报警精度： ±15ul 或±20%，取大者；气泡等级 7 级可调： 25 ，50 ，100 ，200 ，300 ，500 ，800 (ul)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10.累积气泡：气泡等级 7 级可调：100ul/15min，200ul/15min，400ul/15min， 500ul/15min，600ul/15min，800ul/15min，1000ul/15min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11. ★泵门和止液夹：输液泵有电动止液夹和电动泵门控制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12.阻塞级别：225mmHg~975mmHg，11 级可选择；动态显示管路的压力状态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13.更改速速时完全不需要中断输液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14.报警：输注即将完成、输注完成、输注阻塞、电池电量低、电池耗竭、无电池、无外部电源、泵门打开、管路有气泡、无滴数传感器、无滴液、滴数异常、遗忘操作、待机结束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15.能够存储、回放≧2000 个事件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16.声音音量等级≧11 级报警音量可调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17.无线联网功能：连接静脉输注中央站、护士呼叫、输液泵信息联网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18．内置锂电池，在 25ml/h 运行状态下工作时间不小于 5小时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19.重量：约 1.4kg（含电池）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20. 屏幕亮度≧10 级可调。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9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3800.00</w:t>
            </w:r>
          </w:p>
        </w:tc>
      </w:tr>
      <w:tr w14:paraId="4D2E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移动式等离子消毒机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1.规格尺寸：769×582×1032mm，允差±10mm。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2.急救车主体采用不锈钢材质。立柱和中横梁采用铝合金材质。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3.台面颜色为蓝色,并配备PVC透明软垫，易清洁，防止意外刮花。台面安装不锈钢围栏。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4.台面重金属检测：可溶性铅≤2.5mg/kg,未检出可溶性镉,未检出可溶性铬,未检出可溶性汞。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5.急救车配有5个抽屉, 安全中控锁可以同时锁上全部抽屉。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6.抽屉带隔条,易取出,易消毒。盒子重金属检测：可溶性铅≤11mg/kg,可溶性镉未检出,可溶性铬≤2mg/kg,未检出可溶性汞。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7.导轨三节静音式，负载重量≥30KG；耐腐蚀性达9级。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8.底部带蓝色防撞角，脚轮为静音面包轮，双刹车，脚轮直径Φ100mm，推行灵活承载量大；。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9.侧面配备垃圾桶、利器盒(2个)、杂物篮可以摘离；车体背面配有心肺复苏板、升降输液架、氧气瓶支架、电源插板。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F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165A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D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急救药品车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1.规格尺寸：769×582×1032mm，允差±10mm。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2.急救车主体采用不锈钢材质。立柱和中横梁采用铝合金材质。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3.台面颜色为蓝色,并配备PVC透明软垫，易清洁，防止意外刮花。台面安装不锈钢围栏。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4.台面重金属检测：可溶性铅≤2.5mg/kg,未检出可溶性镉,未检出可溶性铬,未检出可溶性汞。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5.急救车配有5个抽屉, 安全中控锁可以同时锁上全部抽屉。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6.抽屉带隔条,易取出,易消毒。盒子重金属检测：可溶性铅≤11mg/kg,可溶性镉未检出,可溶性铬≤2mg/kg,未检出可溶性汞。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7.导轨三节静音式，负载重量≥30KG；耐腐蚀性达9级。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8.底部带蓝色防撞角，脚轮为静音面包轮，双刹车，脚轮直径Φ100mm，推行灵活承载量大；。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9.侧面配备垃圾桶、利器盒(2个)、杂物篮可以摘离；车体背面配有心肺复苏板、升降输液架、氧气瓶支架、电源插板。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A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2E56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9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病人监护仪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一、 监护参数</w:t>
            </w:r>
          </w:p>
          <w:p w14:paraId="6FC7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 一体化多参数监护仪，具备心电、呼吸、无创血压、血氧饱和度、脉率等监测功能。</w:t>
            </w:r>
          </w:p>
          <w:p w14:paraId="4D61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二、 显示</w:t>
            </w:r>
          </w:p>
          <w:p w14:paraId="7014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 ≥12 英寸彩色显示屏，同屏显示 12 道波形。</w:t>
            </w:r>
          </w:p>
          <w:p w14:paraId="2582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2. 支持待机模式、夜间模式、演示模式、隐私模式、插管模式、NFC 模式（需提供机器界面图片）</w:t>
            </w:r>
          </w:p>
          <w:p w14:paraId="52D8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三、 数据</w:t>
            </w:r>
          </w:p>
          <w:p w14:paraId="52D2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 主机配备一个 VGA 或 HDMI 接口以及不少于 2 个 USB 口，可用于外接条码枪扫描枪、键盘、U 盘储存等设备。</w:t>
            </w:r>
          </w:p>
          <w:p w14:paraId="62CC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2. 支持网络流量监控及控制，设定流量限额，以提供更高的网络安全管控，防止恶意软件攻击。（需提供机器界面图片）</w:t>
            </w:r>
          </w:p>
          <w:p w14:paraId="21EC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3. 支持 AES 128 位加密和 TLS 256 位数据传输加密。（需提供机器界面图片）</w:t>
            </w:r>
          </w:p>
          <w:p w14:paraId="0762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四、 性能特点</w:t>
            </w:r>
          </w:p>
          <w:p w14:paraId="28EBB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 主机重量＜3.5kg。</w:t>
            </w:r>
          </w:p>
          <w:p w14:paraId="14D2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2. 在任何滤波模式下均可监测 ST 值。提供心电 ST 段分析功能，支持在专门的窗口中分组显示心脏不同位置的 ST 实时片段和参考片段。（需提供证明文件）</w:t>
            </w:r>
          </w:p>
          <w:p w14:paraId="5B89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3. 在诊断模式下，支持 94dB 的共模抑制比；在监护、手术模式下，支持不低于 105dB 的共模抑制比。</w:t>
            </w:r>
          </w:p>
          <w:p w14:paraId="0CF53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4. 支持 0.67Hz 的高通滤波，确保波形有更好的稳定性。（需提供机器界面图片）</w:t>
            </w:r>
          </w:p>
          <w:p w14:paraId="445A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5. 支持 29 种心律失常分析，包括房颤分析、肢体低电压，满足心电监护临床应用。（需提供机器界面图片）</w:t>
            </w:r>
          </w:p>
          <w:p w14:paraId="7CB2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6. QT 和 QTc 实时监测参数测量范围：200～800 ms。（需提供机器界面图片）</w:t>
            </w:r>
          </w:p>
          <w:p w14:paraId="6444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7. 无创血压成人测量范围：收缩压 25~290mmHg，舒张压 10~200 mmHg。</w:t>
            </w:r>
          </w:p>
          <w:p w14:paraId="2AC1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8. 无创血压提供手动、自动、连续、序列四种测量模式。</w:t>
            </w:r>
          </w:p>
          <w:p w14:paraId="779E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9. 支持用户自行安装激光打印机驱动。</w:t>
            </w:r>
          </w:p>
          <w:p w14:paraId="6111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10. 具备技术报警和生理报警两个独立的报警灯。</w:t>
            </w:r>
          </w:p>
          <w:p w14:paraId="51A6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11. 监护仪设计使用年限： 不少于10 年。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6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15000.00 </w:t>
            </w:r>
          </w:p>
        </w:tc>
      </w:tr>
      <w:tr w14:paraId="68A4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妇科检查床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规格(mm)：1300*550*850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选用不锈钢板和圆管，经加工焊接成形，各显见面平整光亮，无明显影响外观质量的凹陷变形,并在床腿装有塑胶套脚，防止与地面摩擦而产生噪音。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由优质304不锈钢材质组成，结实耐用，超承重能力。适合缓解产妇分娩时紧张情绪，给予产妇时刻的安全感和舒适感，同时还满足医生和护理人员所希望的优秀的操作性能和方便； 床身整体结构防尘，便于清洁；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床垫采用优质医用人造革发泡成型，清洁保养容易，防污防静电性能优于其他同类产品；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背板折转角度：0°～ 80°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标准配置：座垫1套、搁腿架1件、污物盆1件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D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1600.00 </w:t>
            </w:r>
          </w:p>
        </w:tc>
      </w:tr>
    </w:tbl>
    <w:p w14:paraId="23A19B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YxNjJmMWVhNWYzYTJjZDdjYTA1YmZjMDIyMDQifQ=="/>
  </w:docVars>
  <w:rsids>
    <w:rsidRoot w:val="00000000"/>
    <w:rsid w:val="06B05B0C"/>
    <w:rsid w:val="06DA075B"/>
    <w:rsid w:val="09F502C6"/>
    <w:rsid w:val="0E2D3511"/>
    <w:rsid w:val="0FF5548F"/>
    <w:rsid w:val="129245E0"/>
    <w:rsid w:val="142B23E1"/>
    <w:rsid w:val="23FA6F0C"/>
    <w:rsid w:val="2F0D38D2"/>
    <w:rsid w:val="31F969C6"/>
    <w:rsid w:val="38D94467"/>
    <w:rsid w:val="3C02696E"/>
    <w:rsid w:val="3D1C6419"/>
    <w:rsid w:val="486F44A0"/>
    <w:rsid w:val="54E171D9"/>
    <w:rsid w:val="56E10C5F"/>
    <w:rsid w:val="58883E5B"/>
    <w:rsid w:val="630F445E"/>
    <w:rsid w:val="6C2F1F84"/>
    <w:rsid w:val="772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4182</Words>
  <Characters>4968</Characters>
  <Lines>0</Lines>
  <Paragraphs>0</Paragraphs>
  <TotalTime>15</TotalTime>
  <ScaleCrop>false</ScaleCrop>
  <LinksUpToDate>false</LinksUpToDate>
  <CharactersWithSpaces>5216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unis</dc:creator>
  <cp:lastModifiedBy>unis</cp:lastModifiedBy>
  <cp:lastPrinted>2024-05-24T02:38:00Z</cp:lastPrinted>
  <dcterms:modified xsi:type="dcterms:W3CDTF">2024-06-26T11:27:07Z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0A4B54C8BCB84208B4E5AB017DD0BC2B_12</vt:lpwstr>
  </property>
</Properties>
</file>